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712" w:rsidRDefault="00401712" w:rsidP="00401712">
      <w:pPr>
        <w:rPr>
          <w:b/>
          <w:sz w:val="46"/>
          <w:szCs w:val="46"/>
        </w:rPr>
      </w:pPr>
    </w:p>
    <w:p w:rsidR="00BE1A5E" w:rsidRDefault="00A80A96">
      <w:pPr>
        <w:jc w:val="center"/>
        <w:rPr>
          <w:b/>
          <w:sz w:val="40"/>
          <w:szCs w:val="40"/>
        </w:rPr>
      </w:pPr>
      <w:bookmarkStart w:id="0" w:name="OLE_LINK15"/>
      <w:bookmarkStart w:id="1" w:name="OLE_LINK20"/>
      <w:bookmarkStart w:id="2" w:name="OLE_LINK71"/>
      <w:r>
        <w:rPr>
          <w:b/>
          <w:sz w:val="46"/>
          <w:szCs w:val="46"/>
        </w:rPr>
        <w:t>Analyzing</w:t>
      </w:r>
      <w:r w:rsidR="00037D9B">
        <w:rPr>
          <w:b/>
          <w:sz w:val="46"/>
          <w:szCs w:val="46"/>
        </w:rPr>
        <w:t xml:space="preserve"> </w:t>
      </w:r>
      <w:r w:rsidR="00604227">
        <w:rPr>
          <w:b/>
          <w:sz w:val="46"/>
          <w:szCs w:val="46"/>
        </w:rPr>
        <w:t xml:space="preserve">Corporate Debt </w:t>
      </w:r>
      <w:r w:rsidR="00401712">
        <w:rPr>
          <w:b/>
          <w:sz w:val="46"/>
          <w:szCs w:val="46"/>
        </w:rPr>
        <w:t>Sustainability</w:t>
      </w:r>
      <w:r w:rsidR="00604227">
        <w:rPr>
          <w:b/>
          <w:sz w:val="46"/>
          <w:szCs w:val="46"/>
        </w:rPr>
        <w:t xml:space="preserve"> in China’s State-Owned Enterprises</w:t>
      </w:r>
    </w:p>
    <w:bookmarkEnd w:id="0"/>
    <w:bookmarkEnd w:id="1"/>
    <w:bookmarkEnd w:id="2"/>
    <w:p w:rsidR="00BE1A5E" w:rsidRDefault="00604227">
      <w:pPr>
        <w:jc w:val="center"/>
        <w:rPr>
          <w:sz w:val="40"/>
          <w:szCs w:val="40"/>
        </w:rPr>
      </w:pPr>
      <w:r>
        <w:rPr>
          <w:sz w:val="40"/>
          <w:szCs w:val="40"/>
        </w:rPr>
        <w:t xml:space="preserve"> </w:t>
      </w:r>
    </w:p>
    <w:p w:rsidR="00BE1A5E" w:rsidRDefault="00604227">
      <w:pPr>
        <w:jc w:val="center"/>
        <w:rPr>
          <w:sz w:val="40"/>
          <w:szCs w:val="40"/>
        </w:rPr>
      </w:pPr>
      <w:r>
        <w:rPr>
          <w:sz w:val="40"/>
          <w:szCs w:val="40"/>
        </w:rPr>
        <w:t>by</w:t>
      </w:r>
    </w:p>
    <w:p w:rsidR="00BE1A5E" w:rsidRDefault="00BE1A5E">
      <w:pPr>
        <w:jc w:val="center"/>
        <w:rPr>
          <w:sz w:val="40"/>
          <w:szCs w:val="40"/>
        </w:rPr>
      </w:pPr>
    </w:p>
    <w:p w:rsidR="00BE1A5E" w:rsidRDefault="00604227">
      <w:pPr>
        <w:jc w:val="center"/>
        <w:rPr>
          <w:sz w:val="40"/>
          <w:szCs w:val="40"/>
        </w:rPr>
      </w:pPr>
      <w:r>
        <w:rPr>
          <w:sz w:val="40"/>
          <w:szCs w:val="40"/>
        </w:rPr>
        <w:t xml:space="preserve"> </w:t>
      </w:r>
    </w:p>
    <w:p w:rsidR="00BE1A5E" w:rsidRDefault="00604227">
      <w:pPr>
        <w:pStyle w:val="Heading1"/>
        <w:keepNext w:val="0"/>
        <w:keepLines w:val="0"/>
        <w:jc w:val="center"/>
        <w:rPr>
          <w:sz w:val="46"/>
          <w:szCs w:val="46"/>
        </w:rPr>
      </w:pPr>
      <w:bookmarkStart w:id="3" w:name="_kdjltwfr4ecd" w:colFirst="0" w:colLast="0"/>
      <w:bookmarkEnd w:id="3"/>
      <w:proofErr w:type="spellStart"/>
      <w:r>
        <w:rPr>
          <w:sz w:val="46"/>
          <w:szCs w:val="46"/>
        </w:rPr>
        <w:t>Yanbing</w:t>
      </w:r>
      <w:proofErr w:type="spellEnd"/>
      <w:r>
        <w:rPr>
          <w:sz w:val="46"/>
          <w:szCs w:val="46"/>
        </w:rPr>
        <w:t xml:space="preserve"> Wang</w:t>
      </w:r>
    </w:p>
    <w:p w:rsidR="00BE1A5E" w:rsidRDefault="00604227">
      <w:pPr>
        <w:jc w:val="center"/>
        <w:rPr>
          <w:sz w:val="32"/>
          <w:szCs w:val="32"/>
        </w:rPr>
      </w:pPr>
      <w:r>
        <w:rPr>
          <w:sz w:val="32"/>
          <w:szCs w:val="32"/>
        </w:rPr>
        <w:t xml:space="preserve"> </w:t>
      </w:r>
    </w:p>
    <w:p w:rsidR="00BE1A5E" w:rsidRDefault="00BE1A5E">
      <w:pPr>
        <w:jc w:val="center"/>
        <w:rPr>
          <w:sz w:val="32"/>
          <w:szCs w:val="32"/>
        </w:rPr>
      </w:pPr>
    </w:p>
    <w:p w:rsidR="00BE1A5E" w:rsidRDefault="00604227">
      <w:pPr>
        <w:jc w:val="center"/>
        <w:rPr>
          <w:sz w:val="32"/>
          <w:szCs w:val="32"/>
        </w:rPr>
      </w:pPr>
      <w:r>
        <w:rPr>
          <w:sz w:val="32"/>
          <w:szCs w:val="32"/>
        </w:rPr>
        <w:t xml:space="preserve"> </w:t>
      </w:r>
    </w:p>
    <w:p w:rsidR="00BE1A5E" w:rsidRDefault="00604227">
      <w:pPr>
        <w:jc w:val="center"/>
        <w:rPr>
          <w:sz w:val="32"/>
          <w:szCs w:val="32"/>
        </w:rPr>
      </w:pPr>
      <w:r>
        <w:rPr>
          <w:sz w:val="32"/>
          <w:szCs w:val="32"/>
        </w:rPr>
        <w:t xml:space="preserve"> </w:t>
      </w:r>
    </w:p>
    <w:p w:rsidR="00BE1A5E" w:rsidRDefault="00604227">
      <w:pPr>
        <w:jc w:val="center"/>
        <w:rPr>
          <w:sz w:val="32"/>
          <w:szCs w:val="32"/>
        </w:rPr>
      </w:pPr>
      <w:r>
        <w:rPr>
          <w:sz w:val="32"/>
          <w:szCs w:val="32"/>
        </w:rPr>
        <w:t>An honors thesis submitted in partial fulfillment</w:t>
      </w:r>
    </w:p>
    <w:p w:rsidR="00BE1A5E" w:rsidRDefault="00604227">
      <w:pPr>
        <w:jc w:val="center"/>
        <w:rPr>
          <w:sz w:val="32"/>
          <w:szCs w:val="32"/>
        </w:rPr>
      </w:pPr>
      <w:r>
        <w:rPr>
          <w:sz w:val="32"/>
          <w:szCs w:val="32"/>
        </w:rPr>
        <w:t xml:space="preserve"> </w:t>
      </w:r>
    </w:p>
    <w:p w:rsidR="00BE1A5E" w:rsidRDefault="00604227">
      <w:pPr>
        <w:jc w:val="center"/>
        <w:rPr>
          <w:sz w:val="32"/>
          <w:szCs w:val="32"/>
        </w:rPr>
      </w:pPr>
      <w:r>
        <w:rPr>
          <w:sz w:val="32"/>
          <w:szCs w:val="32"/>
        </w:rPr>
        <w:t>of the requirements for the degree of</w:t>
      </w:r>
    </w:p>
    <w:p w:rsidR="00BE1A5E" w:rsidRDefault="00604227">
      <w:pPr>
        <w:jc w:val="center"/>
        <w:rPr>
          <w:sz w:val="32"/>
          <w:szCs w:val="32"/>
        </w:rPr>
      </w:pPr>
      <w:r>
        <w:rPr>
          <w:sz w:val="32"/>
          <w:szCs w:val="32"/>
        </w:rPr>
        <w:t xml:space="preserve"> </w:t>
      </w:r>
    </w:p>
    <w:p w:rsidR="00BE1A5E" w:rsidRDefault="00604227">
      <w:pPr>
        <w:jc w:val="center"/>
        <w:rPr>
          <w:sz w:val="32"/>
          <w:szCs w:val="32"/>
        </w:rPr>
      </w:pPr>
      <w:r>
        <w:rPr>
          <w:sz w:val="32"/>
          <w:szCs w:val="32"/>
        </w:rPr>
        <w:t>Bachelor of Science</w:t>
      </w:r>
    </w:p>
    <w:p w:rsidR="00BE1A5E" w:rsidRDefault="00604227">
      <w:pPr>
        <w:jc w:val="center"/>
        <w:rPr>
          <w:sz w:val="32"/>
          <w:szCs w:val="32"/>
        </w:rPr>
      </w:pPr>
      <w:r>
        <w:rPr>
          <w:sz w:val="32"/>
          <w:szCs w:val="32"/>
        </w:rPr>
        <w:t xml:space="preserve"> </w:t>
      </w:r>
    </w:p>
    <w:p w:rsidR="00BE1A5E" w:rsidRDefault="00604227">
      <w:pPr>
        <w:jc w:val="center"/>
        <w:rPr>
          <w:sz w:val="32"/>
          <w:szCs w:val="32"/>
        </w:rPr>
      </w:pPr>
      <w:r>
        <w:rPr>
          <w:sz w:val="32"/>
          <w:szCs w:val="32"/>
        </w:rPr>
        <w:t>Business Honors Program</w:t>
      </w:r>
    </w:p>
    <w:p w:rsidR="00BE1A5E" w:rsidRDefault="00604227">
      <w:pPr>
        <w:jc w:val="center"/>
        <w:rPr>
          <w:sz w:val="32"/>
          <w:szCs w:val="32"/>
        </w:rPr>
      </w:pPr>
      <w:r>
        <w:rPr>
          <w:sz w:val="32"/>
          <w:szCs w:val="32"/>
        </w:rPr>
        <w:t xml:space="preserve"> </w:t>
      </w:r>
    </w:p>
    <w:p w:rsidR="00BE1A5E" w:rsidRDefault="00604227">
      <w:pPr>
        <w:jc w:val="center"/>
        <w:rPr>
          <w:sz w:val="32"/>
          <w:szCs w:val="32"/>
        </w:rPr>
      </w:pPr>
      <w:r>
        <w:rPr>
          <w:sz w:val="32"/>
          <w:szCs w:val="32"/>
        </w:rPr>
        <w:t>NYU Shanghai</w:t>
      </w:r>
    </w:p>
    <w:p w:rsidR="00BE1A5E" w:rsidRDefault="00604227">
      <w:pPr>
        <w:jc w:val="center"/>
        <w:rPr>
          <w:sz w:val="32"/>
          <w:szCs w:val="32"/>
        </w:rPr>
      </w:pPr>
      <w:r>
        <w:rPr>
          <w:sz w:val="32"/>
          <w:szCs w:val="32"/>
        </w:rPr>
        <w:t xml:space="preserve"> </w:t>
      </w:r>
    </w:p>
    <w:p w:rsidR="00BE1A5E" w:rsidRDefault="00604227">
      <w:pPr>
        <w:jc w:val="center"/>
        <w:rPr>
          <w:sz w:val="32"/>
          <w:szCs w:val="32"/>
        </w:rPr>
      </w:pPr>
      <w:r>
        <w:rPr>
          <w:sz w:val="32"/>
          <w:szCs w:val="32"/>
        </w:rPr>
        <w:t>May 2019</w:t>
      </w:r>
    </w:p>
    <w:p w:rsidR="00BE1A5E" w:rsidRDefault="00604227">
      <w:pPr>
        <w:jc w:val="center"/>
        <w:rPr>
          <w:sz w:val="32"/>
          <w:szCs w:val="32"/>
        </w:rPr>
      </w:pPr>
      <w:r>
        <w:rPr>
          <w:sz w:val="32"/>
          <w:szCs w:val="32"/>
        </w:rPr>
        <w:t xml:space="preserve"> </w:t>
      </w:r>
    </w:p>
    <w:p w:rsidR="00401712" w:rsidRDefault="00401712">
      <w:pPr>
        <w:jc w:val="center"/>
        <w:rPr>
          <w:sz w:val="32"/>
          <w:szCs w:val="32"/>
        </w:rPr>
      </w:pPr>
    </w:p>
    <w:p w:rsidR="00BE1A5E" w:rsidRDefault="00604227">
      <w:pPr>
        <w:jc w:val="center"/>
        <w:rPr>
          <w:sz w:val="32"/>
          <w:szCs w:val="32"/>
        </w:rPr>
      </w:pPr>
      <w:r>
        <w:rPr>
          <w:sz w:val="32"/>
          <w:szCs w:val="32"/>
        </w:rPr>
        <w:t xml:space="preserve">                                                           </w:t>
      </w:r>
      <w:r>
        <w:rPr>
          <w:sz w:val="32"/>
          <w:szCs w:val="32"/>
        </w:rPr>
        <w:tab/>
      </w:r>
    </w:p>
    <w:p w:rsidR="00BE1A5E" w:rsidRDefault="00604227">
      <w:pPr>
        <w:rPr>
          <w:sz w:val="32"/>
          <w:szCs w:val="32"/>
        </w:rPr>
      </w:pPr>
      <w:r>
        <w:rPr>
          <w:sz w:val="32"/>
          <w:szCs w:val="32"/>
        </w:rPr>
        <w:t xml:space="preserve">Professor Marti G. Subrahmanyam   </w:t>
      </w:r>
      <w:r>
        <w:rPr>
          <w:sz w:val="32"/>
          <w:szCs w:val="32"/>
        </w:rPr>
        <w:tab/>
      </w:r>
      <w:bookmarkStart w:id="4" w:name="OLE_LINK13"/>
      <w:bookmarkStart w:id="5" w:name="OLE_LINK14"/>
      <w:r>
        <w:rPr>
          <w:sz w:val="32"/>
          <w:szCs w:val="32"/>
        </w:rPr>
        <w:t xml:space="preserve">Professor </w:t>
      </w:r>
      <w:proofErr w:type="spellStart"/>
      <w:r>
        <w:rPr>
          <w:sz w:val="32"/>
          <w:szCs w:val="32"/>
        </w:rPr>
        <w:t>Pricila</w:t>
      </w:r>
      <w:proofErr w:type="spellEnd"/>
      <w:r>
        <w:rPr>
          <w:sz w:val="32"/>
          <w:szCs w:val="32"/>
        </w:rPr>
        <w:t xml:space="preserve"> </w:t>
      </w:r>
      <w:proofErr w:type="spellStart"/>
      <w:r>
        <w:rPr>
          <w:sz w:val="32"/>
          <w:szCs w:val="32"/>
        </w:rPr>
        <w:t>Maziero</w:t>
      </w:r>
      <w:proofErr w:type="spellEnd"/>
    </w:p>
    <w:bookmarkEnd w:id="4"/>
    <w:bookmarkEnd w:id="5"/>
    <w:p w:rsidR="00BE1A5E" w:rsidRDefault="00604227">
      <w:pPr>
        <w:rPr>
          <w:sz w:val="32"/>
          <w:szCs w:val="32"/>
        </w:rPr>
      </w:pPr>
      <w:r>
        <w:rPr>
          <w:sz w:val="32"/>
          <w:szCs w:val="32"/>
        </w:rPr>
        <w:t xml:space="preserve">Professor </w:t>
      </w:r>
      <w:proofErr w:type="spellStart"/>
      <w:r>
        <w:rPr>
          <w:sz w:val="32"/>
          <w:szCs w:val="32"/>
        </w:rPr>
        <w:t>Yiqing</w:t>
      </w:r>
      <w:proofErr w:type="spellEnd"/>
      <w:r>
        <w:rPr>
          <w:sz w:val="32"/>
          <w:szCs w:val="32"/>
        </w:rPr>
        <w:t xml:space="preserve"> Lu</w:t>
      </w:r>
    </w:p>
    <w:p w:rsidR="00BE1A5E" w:rsidRDefault="00604227">
      <w:pPr>
        <w:rPr>
          <w:sz w:val="32"/>
          <w:szCs w:val="32"/>
        </w:rPr>
      </w:pPr>
      <w:r>
        <w:rPr>
          <w:sz w:val="32"/>
          <w:szCs w:val="32"/>
        </w:rPr>
        <w:t xml:space="preserve">Professor </w:t>
      </w:r>
      <w:proofErr w:type="spellStart"/>
      <w:r>
        <w:rPr>
          <w:sz w:val="32"/>
          <w:szCs w:val="32"/>
        </w:rPr>
        <w:t>Shuang</w:t>
      </w:r>
      <w:proofErr w:type="spellEnd"/>
      <w:r>
        <w:rPr>
          <w:sz w:val="32"/>
          <w:szCs w:val="32"/>
        </w:rPr>
        <w:t xml:space="preserve"> Zhang</w:t>
      </w:r>
    </w:p>
    <w:p w:rsidR="00BE1A5E" w:rsidRDefault="00604227">
      <w:pPr>
        <w:jc w:val="center"/>
        <w:rPr>
          <w:sz w:val="32"/>
          <w:szCs w:val="32"/>
        </w:rPr>
      </w:pPr>
      <w:r>
        <w:rPr>
          <w:sz w:val="32"/>
          <w:szCs w:val="32"/>
        </w:rPr>
        <w:t xml:space="preserve"> </w:t>
      </w:r>
    </w:p>
    <w:p w:rsidR="00BE1A5E" w:rsidRDefault="00604227">
      <w:pPr>
        <w:rPr>
          <w:sz w:val="32"/>
          <w:szCs w:val="32"/>
        </w:rPr>
      </w:pPr>
      <w:r>
        <w:rPr>
          <w:sz w:val="32"/>
          <w:szCs w:val="32"/>
        </w:rPr>
        <w:t xml:space="preserve">Faculty Advisers                                </w:t>
      </w:r>
      <w:r>
        <w:rPr>
          <w:sz w:val="32"/>
          <w:szCs w:val="32"/>
        </w:rPr>
        <w:tab/>
        <w:t xml:space="preserve">Thesis Adviser            </w:t>
      </w:r>
    </w:p>
    <w:p w:rsidR="00BE1A5E" w:rsidRDefault="00BE1A5E">
      <w:pPr>
        <w:spacing w:line="480" w:lineRule="auto"/>
        <w:jc w:val="center"/>
      </w:pPr>
    </w:p>
    <w:p w:rsidR="00BE1A5E" w:rsidRDefault="00BE1A5E">
      <w:pPr>
        <w:spacing w:line="480" w:lineRule="auto"/>
        <w:jc w:val="center"/>
      </w:pPr>
    </w:p>
    <w:p w:rsidR="00401712" w:rsidRDefault="00401712">
      <w:pPr>
        <w:spacing w:line="480" w:lineRule="auto"/>
        <w:jc w:val="center"/>
      </w:pPr>
    </w:p>
    <w:p w:rsidR="00DB532B" w:rsidRDefault="00DB532B">
      <w:pPr>
        <w:spacing w:line="480" w:lineRule="auto"/>
        <w:jc w:val="center"/>
      </w:pPr>
    </w:p>
    <w:p w:rsidR="00BE1A5E" w:rsidRPr="004F369A" w:rsidRDefault="00604227">
      <w:pPr>
        <w:spacing w:line="480" w:lineRule="auto"/>
        <w:jc w:val="center"/>
        <w:rPr>
          <w:b/>
        </w:rPr>
      </w:pPr>
      <w:r w:rsidRPr="004F369A">
        <w:rPr>
          <w:b/>
        </w:rPr>
        <w:lastRenderedPageBreak/>
        <w:t>Abstract</w:t>
      </w:r>
    </w:p>
    <w:p w:rsidR="00BE1A5E" w:rsidRDefault="0053114E" w:rsidP="0072334D">
      <w:pPr>
        <w:spacing w:line="480" w:lineRule="auto"/>
        <w:jc w:val="both"/>
      </w:pPr>
      <w:r>
        <w:t xml:space="preserve">While China’s economy has grown significantly in the past decades, </w:t>
      </w:r>
      <w:r w:rsidR="00883254">
        <w:t xml:space="preserve">the corporate sector has also largely increased its debt usage. </w:t>
      </w:r>
      <w:r w:rsidR="00CB515D">
        <w:t>China’s state-owned enterprises</w:t>
      </w:r>
      <w:r w:rsidR="00C93D2E">
        <w:t xml:space="preserve"> (SOEs)</w:t>
      </w:r>
      <w:r w:rsidR="00031407">
        <w:t xml:space="preserve"> </w:t>
      </w:r>
      <w:r w:rsidR="00CB515D">
        <w:t>contribut</w:t>
      </w:r>
      <w:r w:rsidR="00031407">
        <w:t>es</w:t>
      </w:r>
      <w:r w:rsidR="00CB515D">
        <w:t xml:space="preserve"> to two-thirds of the debt </w:t>
      </w:r>
      <w:r w:rsidR="00917B9B">
        <w:t>pile</w:t>
      </w:r>
      <w:r w:rsidR="00031407">
        <w:t xml:space="preserve">. </w:t>
      </w:r>
      <w:r w:rsidR="00C93D2E">
        <w:t>This paper investigates the financial sustainability of China’s SOEs</w:t>
      </w:r>
      <w:r w:rsidR="00D04CBC">
        <w:t xml:space="preserve"> with their rising indebtedness</w:t>
      </w:r>
      <w:r w:rsidR="00C93D2E">
        <w:t xml:space="preserve">. The findings show that the leverage of China’s SOEs has greatly increased before 2005 and stayed </w:t>
      </w:r>
      <w:r w:rsidR="00AC0BC5">
        <w:t xml:space="preserve">relatively </w:t>
      </w:r>
      <w:r w:rsidR="00C93D2E">
        <w:t xml:space="preserve">flat after 2007. </w:t>
      </w:r>
      <w:r w:rsidR="00277DEE">
        <w:t>The real estate industry is the main driver of the growth.</w:t>
      </w:r>
      <w:r w:rsidR="009F6F63">
        <w:t xml:space="preserve"> However, t</w:t>
      </w:r>
      <w:r w:rsidR="00293527">
        <w:t xml:space="preserve">he increasing leverage is not compensated by the similar amount of increase in profitability. </w:t>
      </w:r>
      <w:r w:rsidR="000D1AD2">
        <w:t xml:space="preserve">Profitability and solvency ability of China’s SOEs have negative growth over time. </w:t>
      </w:r>
      <w:r w:rsidR="00D82166">
        <w:t xml:space="preserve">The study </w:t>
      </w:r>
      <w:r w:rsidR="0058256F">
        <w:t xml:space="preserve">further </w:t>
      </w:r>
      <w:r w:rsidR="00D82166">
        <w:t>casts doubt on China’s SOEs ability to retain their current debt level.</w:t>
      </w:r>
    </w:p>
    <w:p w:rsidR="00BE1A5E" w:rsidRDefault="00BE1A5E">
      <w:pPr>
        <w:spacing w:line="480" w:lineRule="auto"/>
        <w:jc w:val="center"/>
      </w:pPr>
    </w:p>
    <w:p w:rsidR="00BE1A5E" w:rsidRPr="004F369A" w:rsidRDefault="00604227" w:rsidP="00B73F9B">
      <w:pPr>
        <w:numPr>
          <w:ilvl w:val="0"/>
          <w:numId w:val="1"/>
        </w:numPr>
        <w:pBdr>
          <w:top w:val="nil"/>
          <w:left w:val="nil"/>
          <w:bottom w:val="nil"/>
          <w:right w:val="nil"/>
          <w:between w:val="nil"/>
        </w:pBdr>
        <w:spacing w:line="480" w:lineRule="auto"/>
        <w:jc w:val="center"/>
        <w:rPr>
          <w:b/>
          <w:color w:val="000000"/>
        </w:rPr>
      </w:pPr>
      <w:r w:rsidRPr="004F369A">
        <w:rPr>
          <w:b/>
          <w:color w:val="000000"/>
        </w:rPr>
        <w:t>Introduction</w:t>
      </w:r>
    </w:p>
    <w:p w:rsidR="00BE1A5E" w:rsidRDefault="00604227" w:rsidP="00B73F9B">
      <w:pPr>
        <w:spacing w:line="480" w:lineRule="auto"/>
        <w:jc w:val="both"/>
      </w:pPr>
      <w:bookmarkStart w:id="6" w:name="OLE_LINK21"/>
      <w:bookmarkStart w:id="7" w:name="OLE_LINK24"/>
      <w:r>
        <w:t>Since the Reform and Opening up 40 years ago, China’s economy has grown substantially.</w:t>
      </w:r>
      <w:bookmarkEnd w:id="6"/>
      <w:bookmarkEnd w:id="7"/>
      <w:r>
        <w:t xml:space="preserve"> In 1978, China was one of the poorest countries in the world. GDP per capita was only 156 USD, less than one third of the average 490 USD of other impoverished African countries. From 1978 to 2018, China’s GDP growth has averaged 9.5%, making it the greatest economic growth in human history. Now China has become the world’s second largest economy by nominal GDP and the world’s largest economy by purchasing power parity. </w:t>
      </w:r>
      <w:r w:rsidR="002D736A">
        <w:t xml:space="preserve">Another evidence of a country’s economic scale is the number of firms in the Fortune Global 500 list. </w:t>
      </w:r>
      <w:r>
        <w:t xml:space="preserve">In the latest 2018 ranking, there were 120 Chinese companies </w:t>
      </w:r>
      <w:r w:rsidR="00732AF0">
        <w:t>in</w:t>
      </w:r>
      <w:r>
        <w:t xml:space="preserve"> the list, only six places </w:t>
      </w:r>
      <w:r w:rsidR="007A710D">
        <w:t>less</w:t>
      </w:r>
      <w:r>
        <w:t xml:space="preserve"> than the top performer, the United States. China’s state-owned enterprises contributed to 80% of the list, of which three state-owned utility and energy giants State Grid, Sinopec Group and China National Petroleum are among the top five. </w:t>
      </w:r>
    </w:p>
    <w:p w:rsidR="008B4EEE" w:rsidRPr="008B4EEE" w:rsidRDefault="008B4EEE" w:rsidP="008B4EEE">
      <w:pPr>
        <w:spacing w:line="480" w:lineRule="auto"/>
        <w:jc w:val="both"/>
      </w:pPr>
    </w:p>
    <w:p w:rsidR="00BE1A5E" w:rsidRPr="008B4EEE" w:rsidRDefault="00604227" w:rsidP="008B4EEE">
      <w:pPr>
        <w:spacing w:line="480" w:lineRule="auto"/>
        <w:jc w:val="both"/>
      </w:pPr>
      <w:r w:rsidRPr="008B4EEE">
        <w:t xml:space="preserve">While state-owned enterprises have played a significant role in China’s economic growth, they also got blamed for the likely economic slowdown and looming financial crisis. </w:t>
      </w:r>
      <w:r w:rsidR="00730CBC" w:rsidRPr="008B4EEE">
        <w:t xml:space="preserve">In </w:t>
      </w:r>
      <w:r w:rsidR="00551D10" w:rsidRPr="008B4EEE">
        <w:t>its</w:t>
      </w:r>
      <w:r w:rsidR="007C7814" w:rsidRPr="008B4EEE">
        <w:t xml:space="preserve"> </w:t>
      </w:r>
      <w:r w:rsidR="000B65D0" w:rsidRPr="008B4EEE">
        <w:t xml:space="preserve">November </w:t>
      </w:r>
      <w:r w:rsidR="007C7814" w:rsidRPr="008B4EEE">
        <w:t>2018</w:t>
      </w:r>
      <w:r w:rsidRPr="008B4EEE">
        <w:t xml:space="preserve"> </w:t>
      </w:r>
      <w:r w:rsidR="00730CBC" w:rsidRPr="008B4EEE">
        <w:t xml:space="preserve">news report “Debt, not trade war, is China’s biggest problem”, </w:t>
      </w:r>
      <w:r w:rsidR="00551D10" w:rsidRPr="008B4EEE">
        <w:t xml:space="preserve">Forbes </w:t>
      </w:r>
      <w:r w:rsidRPr="008B4EEE">
        <w:t>points out that the growing debt problem</w:t>
      </w:r>
      <w:r w:rsidR="00956D50" w:rsidRPr="008B4EEE">
        <w:t xml:space="preserve"> in China</w:t>
      </w:r>
      <w:r w:rsidRPr="008B4EEE">
        <w:t xml:space="preserve"> would not only impact domestic economy but also the stability of global economy. In 2018, China’s gross debt exploded to </w:t>
      </w:r>
      <w:bookmarkStart w:id="8" w:name="OLE_LINK18"/>
      <w:bookmarkStart w:id="9" w:name="OLE_LINK19"/>
      <w:r w:rsidRPr="008B4EEE">
        <w:t>317 percent of GDP</w:t>
      </w:r>
      <w:bookmarkEnd w:id="8"/>
      <w:bookmarkEnd w:id="9"/>
      <w:r w:rsidRPr="008B4EEE">
        <w:t>, according to Goldman Sachs</w:t>
      </w:r>
      <w:r w:rsidR="00883100" w:rsidRPr="008B4EEE">
        <w:t xml:space="preserve"> (2018)</w:t>
      </w:r>
      <w:r w:rsidRPr="008B4EEE">
        <w:t xml:space="preserve">, which was </w:t>
      </w:r>
      <w:r w:rsidR="00B24ABB" w:rsidRPr="008B4EEE">
        <w:t>significantly</w:t>
      </w:r>
      <w:r w:rsidRPr="008B4EEE">
        <w:t xml:space="preserve"> above the average ratio of emerging market and surpassed developed markets including the US (105%). Based on IMF </w:t>
      </w:r>
      <w:r w:rsidRPr="008B4EEE">
        <w:lastRenderedPageBreak/>
        <w:t xml:space="preserve">statistics, corporate debt counts for </w:t>
      </w:r>
      <w:bookmarkStart w:id="10" w:name="OLE_LINK16"/>
      <w:bookmarkStart w:id="11" w:name="OLE_LINK17"/>
      <w:r w:rsidRPr="008B4EEE">
        <w:t>16</w:t>
      </w:r>
      <w:r w:rsidR="00294697">
        <w:t>5 percent</w:t>
      </w:r>
      <w:r w:rsidRPr="008B4EEE">
        <w:t xml:space="preserve"> of the country’s GDP in 2017 </w:t>
      </w:r>
      <w:bookmarkEnd w:id="10"/>
      <w:bookmarkEnd w:id="11"/>
      <w:r w:rsidRPr="008B4EEE">
        <w:t>and two-thirds of it is</w:t>
      </w:r>
      <w:r w:rsidR="009F3C41">
        <w:t xml:space="preserve"> in</w:t>
      </w:r>
      <w:r w:rsidRPr="008B4EEE">
        <w:t xml:space="preserve"> state-owned enterprises. Banks in China mostly chose to extend preferential credit access to SOEs given the expectation that central government would compensate creditors in case of a default. However, a lot of SOEs are operating at the frontier of inefficiency and constitute the core of debt-laden “zombie firms”. Therefore, my research interest lies in the examination of the sustainability of high debt pile in China’s SOEs.</w:t>
      </w:r>
    </w:p>
    <w:p w:rsidR="00BE1A5E" w:rsidRDefault="00604227" w:rsidP="00B73F9B">
      <w:pPr>
        <w:spacing w:line="480" w:lineRule="auto"/>
        <w:jc w:val="both"/>
      </w:pPr>
      <w:r>
        <w:t xml:space="preserve"> </w:t>
      </w:r>
    </w:p>
    <w:p w:rsidR="00DD0D79" w:rsidRDefault="00DD0D79" w:rsidP="00B73F9B">
      <w:pPr>
        <w:spacing w:line="480" w:lineRule="auto"/>
        <w:jc w:val="both"/>
      </w:pPr>
      <w:r>
        <w:t>There are m</w:t>
      </w:r>
      <w:r w:rsidR="007C7D6F">
        <w:t xml:space="preserve">ainly </w:t>
      </w:r>
      <w:r>
        <w:t xml:space="preserve">three financial indicators examined in this paper: </w:t>
      </w:r>
      <w:bookmarkStart w:id="12" w:name="OLE_LINK34"/>
      <w:bookmarkStart w:id="13" w:name="OLE_LINK35"/>
      <w:r>
        <w:t xml:space="preserve">leverage, profitability and solvency </w:t>
      </w:r>
      <w:r w:rsidR="00633AC1">
        <w:t>ratio</w:t>
      </w:r>
      <w:bookmarkEnd w:id="12"/>
      <w:bookmarkEnd w:id="13"/>
      <w:r>
        <w:t xml:space="preserve">. </w:t>
      </w:r>
      <w:r w:rsidR="00696E51">
        <w:t xml:space="preserve">Leverage measures a firm’s use of debt to finance its assets. </w:t>
      </w:r>
      <w:r w:rsidR="0006145F">
        <w:t>Highly leveraged firms are more vulnerable to potential shocks</w:t>
      </w:r>
      <w:r w:rsidR="00C26BD6">
        <w:t xml:space="preserve">, </w:t>
      </w:r>
      <w:r w:rsidR="0006145F">
        <w:t>result</w:t>
      </w:r>
      <w:r w:rsidR="00C26BD6">
        <w:t>ing</w:t>
      </w:r>
      <w:r w:rsidR="0006145F">
        <w:t xml:space="preserve"> in higher risk of default and bankruptcy. </w:t>
      </w:r>
      <w:r w:rsidR="00015580">
        <w:t xml:space="preserve">Profitability measures a firm’s ability to use existing capital to generate profits. </w:t>
      </w:r>
      <w:r w:rsidR="007965CF">
        <w:t xml:space="preserve">More profitable firms usually have lower risk of default because </w:t>
      </w:r>
      <w:r w:rsidR="00A21076">
        <w:t xml:space="preserve">they would have </w:t>
      </w:r>
      <w:r w:rsidR="00BC4811">
        <w:t>more</w:t>
      </w:r>
      <w:r w:rsidR="00A21076">
        <w:t xml:space="preserve"> earnings to </w:t>
      </w:r>
      <w:r w:rsidR="00646A50">
        <w:t>cover debt payments</w:t>
      </w:r>
      <w:r w:rsidR="00A21076">
        <w:t>.</w:t>
      </w:r>
      <w:r w:rsidR="00633AC1">
        <w:t xml:space="preserve"> Solvency </w:t>
      </w:r>
      <w:r w:rsidR="00C56E79">
        <w:t xml:space="preserve">ratio is closely correlated with leverage and profitability. </w:t>
      </w:r>
      <w:r w:rsidR="00575A51">
        <w:t xml:space="preserve">It measures a firm’s ability to meet its </w:t>
      </w:r>
      <w:r w:rsidR="00591DCF">
        <w:t>debt</w:t>
      </w:r>
      <w:r w:rsidR="00575A51">
        <w:t xml:space="preserve"> obligations. </w:t>
      </w:r>
      <w:r w:rsidR="00055A55">
        <w:t xml:space="preserve">The combination of the three financial indicators is used to examine China’s SOE’s financial sustainability. </w:t>
      </w:r>
    </w:p>
    <w:p w:rsidR="004D2CC4" w:rsidRDefault="004D2CC4" w:rsidP="00B73F9B">
      <w:pPr>
        <w:spacing w:line="480" w:lineRule="auto"/>
        <w:jc w:val="both"/>
      </w:pPr>
    </w:p>
    <w:p w:rsidR="004D2CC4" w:rsidRDefault="004D2CC4" w:rsidP="00B73F9B">
      <w:pPr>
        <w:spacing w:line="480" w:lineRule="auto"/>
        <w:jc w:val="both"/>
      </w:pPr>
      <w:r>
        <w:t xml:space="preserve">The empirical results in this paper show that </w:t>
      </w:r>
      <w:r w:rsidR="00794B00">
        <w:t>China’s SOE</w:t>
      </w:r>
      <w:r w:rsidR="00136D6F">
        <w:t>’</w:t>
      </w:r>
      <w:r w:rsidR="00794B00">
        <w:t>s</w:t>
      </w:r>
      <w:r>
        <w:t xml:space="preserve"> overal</w:t>
      </w:r>
      <w:r w:rsidR="00794B00">
        <w:t>l</w:t>
      </w:r>
      <w:r>
        <w:t xml:space="preserve"> leverage has increased significantly before the 2005 Split Share Structure Reform and largely stayed flat after the reform. </w:t>
      </w:r>
      <w:r w:rsidR="00F33024">
        <w:t>The increasing leverage is mainly driven by the real estate industry, in which the leverage has climbed nearly 4 times from 2000 to 2017.</w:t>
      </w:r>
      <w:r w:rsidR="00F57143">
        <w:t xml:space="preserve"> The growth in leverage is not accompanied by a similar growth in profitability. </w:t>
      </w:r>
      <w:r w:rsidR="000A2CF2">
        <w:t xml:space="preserve">Rather, the overall profitability has a negative growth rate since 2000. </w:t>
      </w:r>
      <w:r w:rsidR="00D17D09">
        <w:t xml:space="preserve">This strongly indicates that China’s SOEs </w:t>
      </w:r>
      <w:r w:rsidR="00940A2F">
        <w:t xml:space="preserve">might have difficulties retaining their current level of debt. </w:t>
      </w:r>
      <w:r w:rsidR="00BC3A36">
        <w:t>M</w:t>
      </w:r>
      <w:r w:rsidR="007B07DF">
        <w:t>ore effective deleveraging policy or improvement in profitability</w:t>
      </w:r>
      <w:r w:rsidR="00BC5938">
        <w:t xml:space="preserve"> is needed for China’s SOEs to be financially sustainable.</w:t>
      </w:r>
    </w:p>
    <w:p w:rsidR="00696E51" w:rsidRDefault="00696E51" w:rsidP="00B73F9B">
      <w:pPr>
        <w:spacing w:line="480" w:lineRule="auto"/>
        <w:jc w:val="both"/>
      </w:pPr>
    </w:p>
    <w:p w:rsidR="00BE1A5E" w:rsidRDefault="00604227" w:rsidP="00B73F9B">
      <w:pPr>
        <w:spacing w:line="480" w:lineRule="auto"/>
        <w:jc w:val="both"/>
      </w:pPr>
      <w:r>
        <w:t xml:space="preserve">Studies have given adequate recognition of government ownership in association with higher leverage. State-owned firms may enjoy implicit or explicit loan guarantees, enabling them to borrow at favorable rates </w:t>
      </w:r>
      <w:r w:rsidRPr="007B6C60">
        <w:t>(</w:t>
      </w:r>
      <w:proofErr w:type="spellStart"/>
      <w:r w:rsidRPr="007B6C60">
        <w:t>Dewenter</w:t>
      </w:r>
      <w:proofErr w:type="spellEnd"/>
      <w:r w:rsidRPr="007B6C60">
        <w:t xml:space="preserve"> and Malatesta, 2001). In addition, SOEs normally cannot freely issue stock except as part of a privatization, </w:t>
      </w:r>
      <w:r w:rsidR="005C1E45" w:rsidRPr="007B6C60">
        <w:t>since</w:t>
      </w:r>
      <w:r w:rsidRPr="007B6C60">
        <w:t xml:space="preserve"> the stock issuance would result in the dilution of state control. Therefore, it is reasonable for SOEs to turn to debt borrowing as a prior means of financing. Empirical evidence is given from China. </w:t>
      </w:r>
      <w:r w:rsidRPr="007B6C60">
        <w:lastRenderedPageBreak/>
        <w:t>Chinese government’s dual ownership of SOEs and large banks, such as the Big Four banks (the Industrial and Commercial Bank of China, the Bank of China, the China Construction Bank and the Industrial and Commercial Bank of China), benefits SOEs with preferential loans, and thus “SOEs tend to have higher leverage, use more long-term debt, and hold less cash” (</w:t>
      </w:r>
      <w:bookmarkStart w:id="14" w:name="OLE_LINK1"/>
      <w:bookmarkStart w:id="15" w:name="OLE_LINK2"/>
      <w:r w:rsidRPr="007B6C60">
        <w:t>Shao et al., 2015</w:t>
      </w:r>
      <w:bookmarkEnd w:id="14"/>
      <w:bookmarkEnd w:id="15"/>
      <w:r w:rsidRPr="007B6C60">
        <w:t xml:space="preserve">). </w:t>
      </w:r>
      <w:proofErr w:type="spellStart"/>
      <w:r w:rsidRPr="007B6C60">
        <w:t>Pessarossi</w:t>
      </w:r>
      <w:proofErr w:type="spellEnd"/>
      <w:r w:rsidRPr="007B6C60">
        <w:t xml:space="preserve"> and Weill </w:t>
      </w:r>
      <w:r w:rsidR="00A17038" w:rsidRPr="007B6C60">
        <w:t>(</w:t>
      </w:r>
      <w:r w:rsidRPr="007B6C60">
        <w:t>2013</w:t>
      </w:r>
      <w:r w:rsidR="00A17038" w:rsidRPr="007B6C60">
        <w:t>)</w:t>
      </w:r>
      <w:r w:rsidRPr="007B6C60">
        <w:t xml:space="preserve"> </w:t>
      </w:r>
      <w:r w:rsidR="00E02EC8" w:rsidRPr="007B6C60">
        <w:t>point out</w:t>
      </w:r>
      <w:r w:rsidR="00A17038" w:rsidRPr="007B6C60">
        <w:t xml:space="preserve"> </w:t>
      </w:r>
      <w:r w:rsidRPr="007B6C60">
        <w:t>that “(in China) financial factors play a much more minor role in corporate debt choices, whereas central government ownership is a key determinant of preference for the bond market”. A handful of other studies (Sun and Tong, 2003 and Xiao, 2011) also confirms the major role of Chinese government ownership in corporate financing and the positive relationship between government intervention and leverage.</w:t>
      </w:r>
    </w:p>
    <w:p w:rsidR="00BE1A5E" w:rsidRDefault="00BE1A5E" w:rsidP="00B73F9B">
      <w:pPr>
        <w:spacing w:line="480" w:lineRule="auto"/>
        <w:jc w:val="both"/>
      </w:pPr>
    </w:p>
    <w:p w:rsidR="00BE1A5E" w:rsidRPr="0082546D" w:rsidRDefault="00604227" w:rsidP="00B73F9B">
      <w:pPr>
        <w:spacing w:line="480" w:lineRule="auto"/>
        <w:jc w:val="both"/>
      </w:pPr>
      <w:r w:rsidRPr="0082546D">
        <w:t>It is generally acknowledged that government firms are less efficient than private ones. One main supporting explanation is that “SOEs would forgo maximum profit in pursuit of social and political objectives, such as wealth redistribution” (</w:t>
      </w:r>
      <w:proofErr w:type="spellStart"/>
      <w:r w:rsidRPr="0082546D">
        <w:t>Dewenter</w:t>
      </w:r>
      <w:proofErr w:type="spellEnd"/>
      <w:r w:rsidRPr="0082546D">
        <w:t xml:space="preserve"> and Malatesta, 2001). This argument is particularly relevant under the institutional context of China, where SOEs were not only supposed to reach production targets but also provide substantial employment for the large population and undertake social welfare functions. Moreover, the existence of agency problem in SOEs would degrade firm performance as conflicts lie in managers’ incentives and government interests</w:t>
      </w:r>
      <w:r w:rsidR="002F460D" w:rsidRPr="0082546D">
        <w:t xml:space="preserve"> (Qian, 1996)</w:t>
      </w:r>
      <w:r w:rsidRPr="0082546D">
        <w:t>. On the one side, the claimant of managers to the residual cash flow is not easily transferable as shares in SOEs as in private firms. On the other side, government intervention constrain</w:t>
      </w:r>
      <w:r w:rsidR="001F2E79" w:rsidRPr="0082546D">
        <w:t>s</w:t>
      </w:r>
      <w:r w:rsidRPr="0082546D">
        <w:t xml:space="preserve"> the discretion and accountability of top management. Evidence from China has shown that lessening of government control through flexibility in labor employment and mitigation of agency cost would positively boost firm performance (Xu et al., 200</w:t>
      </w:r>
      <w:r w:rsidR="00EB3A3A" w:rsidRPr="0082546D">
        <w:t>5</w:t>
      </w:r>
      <w:r w:rsidRPr="0082546D">
        <w:t>).</w:t>
      </w:r>
    </w:p>
    <w:p w:rsidR="00BE1A5E" w:rsidRDefault="00BE1A5E" w:rsidP="00B73F9B">
      <w:pPr>
        <w:spacing w:line="480" w:lineRule="auto"/>
        <w:jc w:val="both"/>
      </w:pPr>
    </w:p>
    <w:p w:rsidR="003928DD" w:rsidRPr="00250B8E" w:rsidRDefault="00604227" w:rsidP="00B73F9B">
      <w:pPr>
        <w:spacing w:line="480" w:lineRule="auto"/>
        <w:jc w:val="both"/>
      </w:pPr>
      <w:r>
        <w:t>The unique scope of my data and analysis contributes to the existing literature in several ways. Firstly, based on the special institutional context of China, this paper provides a comprehensive examination of leveraging Chin</w:t>
      </w:r>
      <w:r w:rsidR="00E15D60">
        <w:t>a’s</w:t>
      </w:r>
      <w:r>
        <w:t xml:space="preserve"> state-owned enterprises and particularly shed lights on their financial sustainability. Previous studies on Chin</w:t>
      </w:r>
      <w:r w:rsidR="00DB6B92">
        <w:t>a’</w:t>
      </w:r>
      <w:r w:rsidR="00091FC3">
        <w:t>s</w:t>
      </w:r>
      <w:r>
        <w:t xml:space="preserve"> corporate sector mainly reveal the effect of government ownership on firms’ financing decisions and performance. However, </w:t>
      </w:r>
      <w:r w:rsidR="00575304">
        <w:t>less</w:t>
      </w:r>
      <w:r>
        <w:t xml:space="preserve"> attention w</w:t>
      </w:r>
      <w:r w:rsidR="00575304">
        <w:t>as</w:t>
      </w:r>
      <w:r>
        <w:t xml:space="preserve"> given to</w:t>
      </w:r>
      <w:r w:rsidR="001F2E79">
        <w:t xml:space="preserve"> </w:t>
      </w:r>
      <w:r>
        <w:t xml:space="preserve">the rationality and </w:t>
      </w:r>
      <w:r w:rsidR="009E03DE">
        <w:t>sustainability</w:t>
      </w:r>
      <w:r>
        <w:t xml:space="preserve"> of SOEs higher leverage tendency. The panel data used in this research documents the overall trend of leverage, profitability </w:t>
      </w:r>
      <w:r>
        <w:lastRenderedPageBreak/>
        <w:t xml:space="preserve">and solvency ability in </w:t>
      </w:r>
      <w:r w:rsidR="00E77C64">
        <w:t>Chin</w:t>
      </w:r>
      <w:r w:rsidR="008175D2">
        <w:t>a’</w:t>
      </w:r>
      <w:r w:rsidR="00E77C64">
        <w:t xml:space="preserve"> </w:t>
      </w:r>
      <w:r>
        <w:t>SOEs since 2000</w:t>
      </w:r>
      <w:r w:rsidR="00982970">
        <w:t xml:space="preserve">. </w:t>
      </w:r>
      <w:r>
        <w:t xml:space="preserve"> </w:t>
      </w:r>
      <w:r w:rsidR="00982970" w:rsidRPr="00CF66B2">
        <w:t>It</w:t>
      </w:r>
      <w:r w:rsidR="003928DD" w:rsidRPr="00CF66B2">
        <w:t xml:space="preserve"> highlights the unmatched growth in leverage compared to profitability and solvency. </w:t>
      </w:r>
      <w:r w:rsidR="00E77C64">
        <w:t xml:space="preserve">Secondly, </w:t>
      </w:r>
      <w:r w:rsidR="00147B54">
        <w:t>the paper only targets Chin</w:t>
      </w:r>
      <w:r w:rsidR="00B4560A">
        <w:t>a’s</w:t>
      </w:r>
      <w:r w:rsidR="00147B54">
        <w:t xml:space="preserve"> SOEs instead of including all public firms to give more specific and precise analys</w:t>
      </w:r>
      <w:r w:rsidR="009B09EC">
        <w:t>e</w:t>
      </w:r>
      <w:r w:rsidR="00147B54">
        <w:t xml:space="preserve">s. </w:t>
      </w:r>
      <w:r w:rsidR="0033662F">
        <w:t xml:space="preserve">The </w:t>
      </w:r>
      <w:r w:rsidR="000256A7" w:rsidRPr="0082546D">
        <w:t>IMF</w:t>
      </w:r>
      <w:r w:rsidR="00061CE3" w:rsidRPr="0082546D">
        <w:t xml:space="preserve"> </w:t>
      </w:r>
      <w:r w:rsidR="0082546D">
        <w:t>W</w:t>
      </w:r>
      <w:r w:rsidR="000256A7">
        <w:t xml:space="preserve">orking </w:t>
      </w:r>
      <w:r w:rsidR="0082546D">
        <w:t>P</w:t>
      </w:r>
      <w:r w:rsidR="000256A7">
        <w:t>aper</w:t>
      </w:r>
      <w:r w:rsidR="00AD14AF">
        <w:t xml:space="preserve"> </w:t>
      </w:r>
      <w:r w:rsidR="00AD14AF" w:rsidRPr="0082546D">
        <w:t>(</w:t>
      </w:r>
      <w:proofErr w:type="spellStart"/>
      <w:r w:rsidR="00AD14AF" w:rsidRPr="0082546D">
        <w:t>Chivacul</w:t>
      </w:r>
      <w:proofErr w:type="spellEnd"/>
      <w:r w:rsidR="00AD14AF" w:rsidRPr="0082546D">
        <w:t xml:space="preserve"> and Lam, 2015) </w:t>
      </w:r>
      <w:r w:rsidR="000256A7">
        <w:t xml:space="preserve">is one of the very few studies on the vulnerabilities of China’s leveraging corporate sector. </w:t>
      </w:r>
      <w:r w:rsidR="00C3685C">
        <w:t xml:space="preserve">The paper uses all listed Chinese firms (over 25,000) spanning from 2003 to 2013 to investigate indebtedness in China. </w:t>
      </w:r>
      <w:r w:rsidR="00642BBB">
        <w:t>The finding of the working paper show</w:t>
      </w:r>
      <w:r w:rsidR="00957E72">
        <w:t xml:space="preserve">s that </w:t>
      </w:r>
      <w:r w:rsidR="00642BBB">
        <w:t>the rise in leverage has mainly been driven by firms in real estate and construction sector, which corresponds to my results as well</w:t>
      </w:r>
      <w:r w:rsidR="00E516F4">
        <w:t xml:space="preserve">. </w:t>
      </w:r>
      <w:r w:rsidR="009468DD">
        <w:t xml:space="preserve">Nevertheless, </w:t>
      </w:r>
      <w:r w:rsidR="00CA014E">
        <w:t xml:space="preserve">adding to </w:t>
      </w:r>
      <w:r w:rsidR="009468DD">
        <w:t>the working paper</w:t>
      </w:r>
      <w:r w:rsidR="007A013E">
        <w:t>’s</w:t>
      </w:r>
      <w:r w:rsidR="009468DD">
        <w:t xml:space="preserve"> find</w:t>
      </w:r>
      <w:r w:rsidR="00CA014E">
        <w:t>ing</w:t>
      </w:r>
      <w:r w:rsidR="009468DD">
        <w:t>, “SOEs’ leverage at the tail end of the distribution has significantly increased</w:t>
      </w:r>
      <w:r w:rsidR="009468DD" w:rsidRPr="00250B8E">
        <w:t xml:space="preserve">”, my research particularly breaks down the indebtedness problem in SOEs </w:t>
      </w:r>
      <w:r w:rsidR="00CA014E" w:rsidRPr="00250B8E">
        <w:t xml:space="preserve">and </w:t>
      </w:r>
      <w:r w:rsidR="009468DD" w:rsidRPr="00250B8E">
        <w:t>cover</w:t>
      </w:r>
      <w:r w:rsidR="00CA014E" w:rsidRPr="00250B8E">
        <w:t>s</w:t>
      </w:r>
      <w:r w:rsidR="009468DD" w:rsidRPr="00250B8E">
        <w:t xml:space="preserve"> longer period of time from 2000 to 2017.</w:t>
      </w:r>
    </w:p>
    <w:p w:rsidR="00905D30" w:rsidRDefault="00905D30" w:rsidP="00B73F9B">
      <w:pPr>
        <w:spacing w:line="480" w:lineRule="auto"/>
        <w:jc w:val="both"/>
        <w:rPr>
          <w:u w:val="single"/>
        </w:rPr>
      </w:pPr>
    </w:p>
    <w:p w:rsidR="00604227" w:rsidRDefault="000E2081" w:rsidP="00B73F9B">
      <w:pPr>
        <w:spacing w:line="480" w:lineRule="auto"/>
        <w:jc w:val="both"/>
      </w:pPr>
      <w:r>
        <w:t>The remainder of this study proceeds as follows. Section 2 discusses sample selection and data. Section 3 examines trends of leverage, performance and solvency ability in Chin</w:t>
      </w:r>
      <w:r w:rsidR="0052484A">
        <w:t>a’s</w:t>
      </w:r>
      <w:r>
        <w:t xml:space="preserve"> SOEs since 2000 at the aggregate and industry levels. </w:t>
      </w:r>
      <w:r w:rsidR="00883BF2">
        <w:t xml:space="preserve">Empirical results are presented in Section 4 and Section </w:t>
      </w:r>
      <w:r w:rsidR="00A461F8">
        <w:t>5</w:t>
      </w:r>
      <w:r w:rsidR="00883BF2">
        <w:t xml:space="preserve"> concludes the paper.</w:t>
      </w:r>
    </w:p>
    <w:p w:rsidR="0086697B" w:rsidRDefault="0086697B" w:rsidP="00B73F9B">
      <w:pPr>
        <w:spacing w:line="480" w:lineRule="auto"/>
        <w:jc w:val="both"/>
      </w:pPr>
    </w:p>
    <w:p w:rsidR="00BE1A5E" w:rsidRPr="002C15F9" w:rsidRDefault="00604227" w:rsidP="00B73F9B">
      <w:pPr>
        <w:numPr>
          <w:ilvl w:val="0"/>
          <w:numId w:val="1"/>
        </w:numPr>
        <w:pBdr>
          <w:top w:val="nil"/>
          <w:left w:val="nil"/>
          <w:bottom w:val="nil"/>
          <w:right w:val="nil"/>
          <w:between w:val="nil"/>
        </w:pBdr>
        <w:spacing w:line="480" w:lineRule="auto"/>
        <w:jc w:val="center"/>
        <w:rPr>
          <w:b/>
          <w:color w:val="000000"/>
        </w:rPr>
      </w:pPr>
      <w:r w:rsidRPr="002C15F9">
        <w:rPr>
          <w:b/>
          <w:color w:val="000000"/>
        </w:rPr>
        <w:t>Sample Selection and Summary Statistics</w:t>
      </w:r>
    </w:p>
    <w:p w:rsidR="00AF6287" w:rsidRDefault="00604227" w:rsidP="00B73F9B">
      <w:pPr>
        <w:spacing w:line="480" w:lineRule="auto"/>
        <w:jc w:val="both"/>
      </w:pPr>
      <w:r>
        <w:t xml:space="preserve"> The sample </w:t>
      </w:r>
      <w:bookmarkStart w:id="16" w:name="OLE_LINK25"/>
      <w:bookmarkStart w:id="17" w:name="OLE_LINK26"/>
      <w:r>
        <w:t>includes 812 Chine</w:t>
      </w:r>
      <w:r w:rsidR="002B55A8">
        <w:t>se</w:t>
      </w:r>
      <w:r>
        <w:t xml:space="preserve"> state-owned enterprises listed on the Shanghai Stock Exchange and Shenzhen Stock Exchange between 2000 and 2017. </w:t>
      </w:r>
      <w:bookmarkStart w:id="18" w:name="OLE_LINK27"/>
      <w:bookmarkStart w:id="19" w:name="OLE_LINK28"/>
      <w:bookmarkEnd w:id="16"/>
      <w:bookmarkEnd w:id="17"/>
      <w:r>
        <w:t>The selection criterion is that the ultimate controlling shareholder is the State-owned Assets Supervision and Administration Commission of the State Council (SASAC).</w:t>
      </w:r>
      <w:bookmarkEnd w:id="18"/>
      <w:bookmarkEnd w:id="19"/>
      <w:r>
        <w:t xml:space="preserve"> SASAC not only administers central SOEs but also has counterparts at provincial and local government to administer local SOEs. </w:t>
      </w:r>
      <w:bookmarkStart w:id="20" w:name="OLE_LINK29"/>
      <w:bookmarkStart w:id="21" w:name="OLE_LINK30"/>
      <w:r>
        <w:t>Among the 812 SOEs, 2</w:t>
      </w:r>
      <w:r w:rsidR="004A4458">
        <w:t>59</w:t>
      </w:r>
      <w:r>
        <w:t xml:space="preserve"> firms are </w:t>
      </w:r>
      <w:bookmarkEnd w:id="20"/>
      <w:bookmarkEnd w:id="21"/>
      <w:r>
        <w:t xml:space="preserve">directly controlled by State Council SASAC, known as central SOEs, and </w:t>
      </w:r>
      <w:bookmarkStart w:id="22" w:name="OLE_LINK31"/>
      <w:bookmarkStart w:id="23" w:name="OLE_LINK32"/>
      <w:r>
        <w:t>55</w:t>
      </w:r>
      <w:r w:rsidR="004A4458">
        <w:t>3</w:t>
      </w:r>
      <w:r>
        <w:t xml:space="preserve"> firms are local SOEs.</w:t>
      </w:r>
      <w:r w:rsidR="002E5FD6">
        <w:t xml:space="preserve"> </w:t>
      </w:r>
      <w:bookmarkStart w:id="24" w:name="OLE_LINK33"/>
      <w:bookmarkEnd w:id="22"/>
      <w:bookmarkEnd w:id="23"/>
      <w:r w:rsidR="002E5FD6">
        <w:t>The firm-level corporate data are obtained from Wind-Financial database</w:t>
      </w:r>
      <w:r w:rsidR="00282F14">
        <w:t xml:space="preserve">, where financial, industry, </w:t>
      </w:r>
      <w:r w:rsidR="008344F8">
        <w:t xml:space="preserve">and </w:t>
      </w:r>
      <w:r w:rsidR="00282F14">
        <w:t xml:space="preserve">ownership information </w:t>
      </w:r>
      <w:r w:rsidR="008344F8">
        <w:t>is</w:t>
      </w:r>
      <w:r w:rsidR="00282F14">
        <w:t xml:space="preserve"> available</w:t>
      </w:r>
      <w:r w:rsidR="00AB712A">
        <w:t xml:space="preserve">. </w:t>
      </w:r>
      <w:bookmarkEnd w:id="24"/>
      <w:r w:rsidR="00AB712A">
        <w:t xml:space="preserve">There is no existing dataset on Wind specializing in Chinese SOEs. </w:t>
      </w:r>
      <w:r w:rsidR="002D7B67">
        <w:t xml:space="preserve">The sample data used in this research are all self-collected based on the selection criterion explained </w:t>
      </w:r>
      <w:r w:rsidR="00981619">
        <w:rPr>
          <w:rFonts w:hint="eastAsia"/>
        </w:rPr>
        <w:t>before</w:t>
      </w:r>
      <w:r w:rsidR="002D7B67">
        <w:t>.</w:t>
      </w:r>
      <w:r w:rsidR="00480338">
        <w:t xml:space="preserve"> For financial data </w:t>
      </w:r>
      <w:r w:rsidR="00CE0E8D">
        <w:t xml:space="preserve">originally </w:t>
      </w:r>
      <w:r w:rsidR="00480338">
        <w:t xml:space="preserve">in Chinese Yuan </w:t>
      </w:r>
      <w:r w:rsidR="0030683C">
        <w:t>on</w:t>
      </w:r>
      <w:r w:rsidR="00480338">
        <w:t xml:space="preserve"> Wind, its corresponding US dollar value is calculated using </w:t>
      </w:r>
      <w:r>
        <w:t xml:space="preserve">annual average closing price for dollar-yuan exchange rate provided by </w:t>
      </w:r>
      <w:r w:rsidRPr="005B702A">
        <w:t>Macrotrends</w:t>
      </w:r>
      <w:r w:rsidR="00BF718D" w:rsidRPr="005B702A">
        <w:rPr>
          <w:rStyle w:val="FootnoteReference"/>
        </w:rPr>
        <w:footnoteReference w:id="1"/>
      </w:r>
      <w:r w:rsidRPr="005B702A">
        <w:t>.</w:t>
      </w:r>
    </w:p>
    <w:p w:rsidR="00AF6287" w:rsidRDefault="00AF6287" w:rsidP="00B73F9B">
      <w:pPr>
        <w:spacing w:line="480" w:lineRule="auto"/>
        <w:jc w:val="both"/>
      </w:pPr>
    </w:p>
    <w:p w:rsidR="00F12C43" w:rsidRDefault="00671EE4" w:rsidP="00B73F9B">
      <w:pPr>
        <w:spacing w:line="480" w:lineRule="auto"/>
        <w:jc w:val="both"/>
      </w:pPr>
      <w:r>
        <w:t>The firm</w:t>
      </w:r>
      <w:r w:rsidR="000D4CD5">
        <w:t xml:space="preserve">-level </w:t>
      </w:r>
      <w:r>
        <w:t xml:space="preserve">variables are constructed </w:t>
      </w:r>
      <w:r w:rsidR="000179E0">
        <w:t>by</w:t>
      </w:r>
      <w:r w:rsidR="00D20671">
        <w:t xml:space="preserve"> inspiration </w:t>
      </w:r>
      <w:r w:rsidR="0041467E">
        <w:t>of</w:t>
      </w:r>
      <w:r w:rsidR="00D20671">
        <w:t xml:space="preserve"> the literature in the field of capital structure </w:t>
      </w:r>
      <w:r w:rsidR="007677A5" w:rsidRPr="005B702A">
        <w:t xml:space="preserve">(Graham et al., 2014 and Shao et al., 2015) </w:t>
      </w:r>
      <w:r w:rsidR="00D20671">
        <w:t>as well as Wind financial analysis data</w:t>
      </w:r>
      <w:r w:rsidR="00CA1D6E">
        <w:t>set</w:t>
      </w:r>
      <w:r w:rsidR="00D20671">
        <w:t>.</w:t>
      </w:r>
      <w:r w:rsidR="00CA1D6E">
        <w:t xml:space="preserve"> </w:t>
      </w:r>
      <w:r w:rsidR="00CA5522">
        <w:t>Leverage is measured using debt-to-assets ratio,</w:t>
      </w:r>
      <w:r w:rsidR="00C111F1">
        <w:t xml:space="preserve"> as</w:t>
      </w:r>
      <w:r w:rsidR="00CA5522">
        <w:t xml:space="preserve"> total liabilities divided by total assets</w:t>
      </w:r>
      <w:r w:rsidR="00C111F1">
        <w:t xml:space="preserve">. </w:t>
      </w:r>
      <w:bookmarkStart w:id="25" w:name="OLE_LINK36"/>
      <w:bookmarkStart w:id="26" w:name="OLE_LINK37"/>
      <w:r w:rsidR="00B9141A">
        <w:t xml:space="preserve">Profitability of a firm is measured by earnings before interest and taxes (EBIT) divided by total operating revenue. </w:t>
      </w:r>
      <w:bookmarkEnd w:id="25"/>
      <w:bookmarkEnd w:id="26"/>
      <w:r w:rsidR="008D1EDD">
        <w:t xml:space="preserve">Net profit margin as another measure of profitability is also tested in the research. However, </w:t>
      </w:r>
      <w:r w:rsidR="00CE03D3">
        <w:t xml:space="preserve">the </w:t>
      </w:r>
      <w:r w:rsidR="00E40959">
        <w:t xml:space="preserve">EBIT </w:t>
      </w:r>
      <w:r w:rsidR="00D45C0D">
        <w:t>measure</w:t>
      </w:r>
      <w:r w:rsidR="00CE03D3">
        <w:t>ment</w:t>
      </w:r>
      <w:r w:rsidR="00D45C0D">
        <w:rPr>
          <w:rFonts w:hint="eastAsia"/>
        </w:rPr>
        <w:t xml:space="preserve"> </w:t>
      </w:r>
      <w:r w:rsidR="00E40959">
        <w:t>is</w:t>
      </w:r>
      <w:r w:rsidR="00DB2E27">
        <w:t xml:space="preserve"> preferred to</w:t>
      </w:r>
      <w:r w:rsidR="008D1EDD">
        <w:t xml:space="preserve"> </w:t>
      </w:r>
      <w:bookmarkStart w:id="27" w:name="OLE_LINK38"/>
      <w:bookmarkStart w:id="28" w:name="OLE_LINK45"/>
      <w:r w:rsidR="008D1EDD">
        <w:t xml:space="preserve">avoid the confounding </w:t>
      </w:r>
      <w:r w:rsidR="0019527C">
        <w:t xml:space="preserve">correlation between </w:t>
      </w:r>
      <w:r w:rsidR="008D1EDD">
        <w:t>the interest payment</w:t>
      </w:r>
      <w:r w:rsidR="0019527C">
        <w:t xml:space="preserve"> and leverage</w:t>
      </w:r>
      <w:r w:rsidR="00063DCF">
        <w:t>.</w:t>
      </w:r>
      <w:bookmarkEnd w:id="27"/>
      <w:bookmarkEnd w:id="28"/>
      <w:r w:rsidR="00063DCF">
        <w:t xml:space="preserve"> </w:t>
      </w:r>
      <w:r w:rsidR="00781EEE">
        <w:t xml:space="preserve">Two measures, </w:t>
      </w:r>
      <w:r w:rsidR="00E834BA">
        <w:t>liquidity</w:t>
      </w:r>
      <w:r w:rsidR="00781EEE">
        <w:t xml:space="preserve"> ratio and </w:t>
      </w:r>
      <w:r w:rsidR="00E834BA">
        <w:t>solvency</w:t>
      </w:r>
      <w:r w:rsidR="00781EEE">
        <w:t xml:space="preserve"> ratio, are examined</w:t>
      </w:r>
      <w:r w:rsidR="00B96E14">
        <w:t xml:space="preserve"> for</w:t>
      </w:r>
      <w:r w:rsidR="00781EEE">
        <w:t xml:space="preserve"> a firm’s</w:t>
      </w:r>
      <w:r w:rsidR="00E834BA">
        <w:t xml:space="preserve"> financial health</w:t>
      </w:r>
      <w:r w:rsidR="00781EEE">
        <w:t>.</w:t>
      </w:r>
      <w:r w:rsidR="00B4680E">
        <w:t xml:space="preserve"> </w:t>
      </w:r>
      <w:r w:rsidR="00D048E9">
        <w:t xml:space="preserve">Interest coverage ratio, as </w:t>
      </w:r>
      <w:r w:rsidR="00C46E4D">
        <w:t>operating profits divided by interest expense, is a more robust measure in the case of Chinese SOEs</w:t>
      </w:r>
      <w:r w:rsidR="003C5F74">
        <w:t>’</w:t>
      </w:r>
      <w:r w:rsidR="00C46E4D">
        <w:t xml:space="preserve"> preference for long-term debt</w:t>
      </w:r>
      <w:r w:rsidR="00DF42EC">
        <w:t xml:space="preserve"> as noted in the literature before</w:t>
      </w:r>
      <w:r w:rsidR="00C46E4D">
        <w:t>.</w:t>
      </w:r>
      <w:r w:rsidR="005D6D8F" w:rsidRPr="005D6D8F">
        <w:t xml:space="preserve"> </w:t>
      </w:r>
      <w:r w:rsidR="005D6D8F">
        <w:t>I used the logarithm of book value of total assets to measure firm size in the regression.</w:t>
      </w:r>
      <w:r w:rsidR="00755C55">
        <w:t xml:space="preserve"> </w:t>
      </w:r>
      <w:r w:rsidR="007950C0">
        <w:t xml:space="preserve">Capital expenditure as proxy for growth </w:t>
      </w:r>
      <w:r w:rsidR="007950C0" w:rsidRPr="005B702A">
        <w:t>opportunity (Adam and Goyal</w:t>
      </w:r>
      <w:r w:rsidR="003A6DA3" w:rsidRPr="005B702A">
        <w:t>,</w:t>
      </w:r>
      <w:r w:rsidR="007950C0" w:rsidRPr="005B702A">
        <w:t xml:space="preserve"> 2008) is </w:t>
      </w:r>
      <w:r w:rsidR="007950C0">
        <w:t>scaled by total assets</w:t>
      </w:r>
      <w:r w:rsidR="00DD42A7">
        <w:t>, and t</w:t>
      </w:r>
      <w:r w:rsidR="007950C0">
        <w:t xml:space="preserve">ax shield effect according to the </w:t>
      </w:r>
      <w:r w:rsidR="007950C0" w:rsidRPr="007950C0">
        <w:rPr>
          <w:i/>
        </w:rPr>
        <w:t>Tradeoff Theory</w:t>
      </w:r>
      <w:r w:rsidR="00214A57">
        <w:rPr>
          <w:i/>
        </w:rPr>
        <w:t xml:space="preserve"> </w:t>
      </w:r>
      <w:r w:rsidR="00214A57" w:rsidRPr="00214A57">
        <w:t xml:space="preserve">(Kraus and </w:t>
      </w:r>
      <w:proofErr w:type="spellStart"/>
      <w:r w:rsidR="00214A57" w:rsidRPr="00214A57">
        <w:t>Litzenberger</w:t>
      </w:r>
      <w:proofErr w:type="spellEnd"/>
      <w:r w:rsidR="00214A57" w:rsidRPr="00214A57">
        <w:t>, 1973)</w:t>
      </w:r>
      <w:r w:rsidR="007950C0">
        <w:rPr>
          <w:i/>
        </w:rPr>
        <w:t xml:space="preserve"> </w:t>
      </w:r>
      <w:r w:rsidR="007950C0">
        <w:t xml:space="preserve">is captured by firm-level corporate tax rates. </w:t>
      </w:r>
      <w:r w:rsidR="00F611B1">
        <w:t>More details about variable</w:t>
      </w:r>
      <w:r w:rsidR="00193778">
        <w:t xml:space="preserve"> definitions can be found </w:t>
      </w:r>
      <w:r w:rsidR="00193778" w:rsidRPr="00F83111">
        <w:t>in Appendix A.</w:t>
      </w:r>
      <w:r w:rsidR="00F611B1">
        <w:t xml:space="preserve"> </w:t>
      </w:r>
    </w:p>
    <w:p w:rsidR="00F05AE7" w:rsidRDefault="00F05AE7" w:rsidP="00F05AE7">
      <w:pPr>
        <w:jc w:val="both"/>
      </w:pPr>
    </w:p>
    <w:p w:rsidR="002454F6" w:rsidRDefault="00F05AE7" w:rsidP="00F05AE7">
      <w:pPr>
        <w:jc w:val="both"/>
      </w:pPr>
      <w:r>
        <w:t xml:space="preserve"> </w:t>
      </w:r>
      <w:r w:rsidR="00604227">
        <w:t>Table 1</w:t>
      </w:r>
      <w:r w:rsidR="003E500D">
        <w:t>. Industry distribution of the sample</w:t>
      </w:r>
      <w:r w:rsidR="00604227">
        <w:tab/>
      </w:r>
    </w:p>
    <w:p w:rsidR="00EC5291" w:rsidRDefault="00EC5291" w:rsidP="00EC5291">
      <w:pPr>
        <w:spacing w:line="120" w:lineRule="auto"/>
        <w:jc w:val="both"/>
      </w:pPr>
    </w:p>
    <w:tbl>
      <w:tblPr>
        <w:tblW w:w="9676" w:type="dxa"/>
        <w:tblInd w:w="398" w:type="dxa"/>
        <w:tblLook w:val="04A0" w:firstRow="1" w:lastRow="0" w:firstColumn="1" w:lastColumn="0" w:noHBand="0" w:noVBand="1"/>
      </w:tblPr>
      <w:tblGrid>
        <w:gridCol w:w="1967"/>
        <w:gridCol w:w="6863"/>
        <w:gridCol w:w="846"/>
      </w:tblGrid>
      <w:tr w:rsidR="002454F6" w:rsidRPr="002454F6" w:rsidTr="00EC5291">
        <w:trPr>
          <w:trHeight w:val="320"/>
        </w:trPr>
        <w:tc>
          <w:tcPr>
            <w:tcW w:w="1967" w:type="dxa"/>
            <w:tcBorders>
              <w:top w:val="single" w:sz="4" w:space="0" w:color="auto"/>
              <w:left w:val="nil"/>
              <w:bottom w:val="single" w:sz="8" w:space="0" w:color="auto"/>
              <w:right w:val="nil"/>
            </w:tcBorders>
            <w:shd w:val="clear" w:color="auto" w:fill="auto"/>
            <w:noWrap/>
            <w:vAlign w:val="bottom"/>
            <w:hideMark/>
          </w:tcPr>
          <w:p w:rsidR="002454F6" w:rsidRPr="002454F6" w:rsidRDefault="002454F6" w:rsidP="002454F6">
            <w:pPr>
              <w:rPr>
                <w:bCs/>
                <w:color w:val="000000"/>
                <w:sz w:val="22"/>
                <w:szCs w:val="22"/>
              </w:rPr>
            </w:pPr>
            <w:r w:rsidRPr="002454F6">
              <w:rPr>
                <w:bCs/>
                <w:color w:val="000000"/>
                <w:sz w:val="22"/>
                <w:szCs w:val="22"/>
              </w:rPr>
              <w:t>Industry Code</w:t>
            </w:r>
          </w:p>
        </w:tc>
        <w:tc>
          <w:tcPr>
            <w:tcW w:w="6863" w:type="dxa"/>
            <w:tcBorders>
              <w:top w:val="single" w:sz="4" w:space="0" w:color="auto"/>
              <w:left w:val="nil"/>
              <w:bottom w:val="single" w:sz="8" w:space="0" w:color="auto"/>
              <w:right w:val="nil"/>
            </w:tcBorders>
            <w:shd w:val="clear" w:color="auto" w:fill="auto"/>
            <w:noWrap/>
            <w:vAlign w:val="bottom"/>
            <w:hideMark/>
          </w:tcPr>
          <w:p w:rsidR="002454F6" w:rsidRPr="002454F6" w:rsidRDefault="002454F6" w:rsidP="002454F6">
            <w:pPr>
              <w:rPr>
                <w:bCs/>
                <w:color w:val="000000"/>
                <w:sz w:val="22"/>
                <w:szCs w:val="22"/>
              </w:rPr>
            </w:pPr>
            <w:r w:rsidRPr="002454F6">
              <w:rPr>
                <w:bCs/>
                <w:color w:val="000000"/>
                <w:sz w:val="22"/>
                <w:szCs w:val="22"/>
              </w:rPr>
              <w:t>Industry Name</w:t>
            </w:r>
          </w:p>
        </w:tc>
        <w:tc>
          <w:tcPr>
            <w:tcW w:w="846" w:type="dxa"/>
            <w:tcBorders>
              <w:top w:val="single" w:sz="4" w:space="0" w:color="auto"/>
              <w:left w:val="nil"/>
              <w:bottom w:val="single" w:sz="8" w:space="0" w:color="auto"/>
              <w:right w:val="nil"/>
            </w:tcBorders>
            <w:shd w:val="clear" w:color="auto" w:fill="auto"/>
            <w:noWrap/>
            <w:vAlign w:val="bottom"/>
            <w:hideMark/>
          </w:tcPr>
          <w:p w:rsidR="002454F6" w:rsidRPr="002454F6" w:rsidRDefault="002454F6" w:rsidP="002454F6">
            <w:pPr>
              <w:rPr>
                <w:bCs/>
                <w:color w:val="000000"/>
                <w:sz w:val="22"/>
                <w:szCs w:val="22"/>
              </w:rPr>
            </w:pPr>
            <w:r w:rsidRPr="002454F6">
              <w:rPr>
                <w:bCs/>
                <w:color w:val="000000"/>
                <w:sz w:val="22"/>
                <w:szCs w:val="22"/>
              </w:rPr>
              <w:t>Count</w:t>
            </w:r>
          </w:p>
        </w:tc>
      </w:tr>
      <w:tr w:rsidR="002454F6" w:rsidRPr="002454F6" w:rsidTr="00EC5291">
        <w:trPr>
          <w:trHeight w:val="300"/>
        </w:trPr>
        <w:tc>
          <w:tcPr>
            <w:tcW w:w="1967"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C</w:t>
            </w:r>
          </w:p>
        </w:tc>
        <w:tc>
          <w:tcPr>
            <w:tcW w:w="6863"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Manufacturing Industry</w:t>
            </w:r>
          </w:p>
        </w:tc>
        <w:tc>
          <w:tcPr>
            <w:tcW w:w="846"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406</w:t>
            </w:r>
          </w:p>
        </w:tc>
      </w:tr>
      <w:tr w:rsidR="002454F6" w:rsidRPr="002454F6" w:rsidTr="00EC5291">
        <w:trPr>
          <w:trHeight w:val="300"/>
        </w:trPr>
        <w:tc>
          <w:tcPr>
            <w:tcW w:w="1967"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D</w:t>
            </w:r>
          </w:p>
        </w:tc>
        <w:tc>
          <w:tcPr>
            <w:tcW w:w="6863"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Utility Industry</w:t>
            </w:r>
          </w:p>
        </w:tc>
        <w:tc>
          <w:tcPr>
            <w:tcW w:w="846"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69</w:t>
            </w:r>
          </w:p>
        </w:tc>
      </w:tr>
      <w:tr w:rsidR="002454F6" w:rsidRPr="002454F6" w:rsidTr="00EC5291">
        <w:trPr>
          <w:trHeight w:val="300"/>
        </w:trPr>
        <w:tc>
          <w:tcPr>
            <w:tcW w:w="1967"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F</w:t>
            </w:r>
          </w:p>
        </w:tc>
        <w:tc>
          <w:tcPr>
            <w:tcW w:w="6863"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Wholesale and Retail Industry</w:t>
            </w:r>
          </w:p>
        </w:tc>
        <w:tc>
          <w:tcPr>
            <w:tcW w:w="846"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68</w:t>
            </w:r>
          </w:p>
        </w:tc>
      </w:tr>
      <w:tr w:rsidR="002454F6" w:rsidRPr="002454F6" w:rsidTr="00EC5291">
        <w:trPr>
          <w:trHeight w:val="300"/>
        </w:trPr>
        <w:tc>
          <w:tcPr>
            <w:tcW w:w="1967"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G</w:t>
            </w:r>
          </w:p>
        </w:tc>
        <w:tc>
          <w:tcPr>
            <w:tcW w:w="6863"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Transport, storage and postal service industry</w:t>
            </w:r>
          </w:p>
        </w:tc>
        <w:tc>
          <w:tcPr>
            <w:tcW w:w="846"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56</w:t>
            </w:r>
          </w:p>
        </w:tc>
      </w:tr>
      <w:tr w:rsidR="002454F6" w:rsidRPr="002454F6" w:rsidTr="00EC5291">
        <w:trPr>
          <w:trHeight w:val="300"/>
        </w:trPr>
        <w:tc>
          <w:tcPr>
            <w:tcW w:w="1967"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K</w:t>
            </w:r>
          </w:p>
        </w:tc>
        <w:tc>
          <w:tcPr>
            <w:tcW w:w="6863"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Real Estate Industry</w:t>
            </w:r>
          </w:p>
        </w:tc>
        <w:tc>
          <w:tcPr>
            <w:tcW w:w="846"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47</w:t>
            </w:r>
          </w:p>
        </w:tc>
      </w:tr>
      <w:tr w:rsidR="002454F6" w:rsidRPr="002454F6" w:rsidTr="00EC5291">
        <w:trPr>
          <w:trHeight w:val="300"/>
        </w:trPr>
        <w:tc>
          <w:tcPr>
            <w:tcW w:w="1967"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B</w:t>
            </w:r>
          </w:p>
        </w:tc>
        <w:tc>
          <w:tcPr>
            <w:tcW w:w="6863"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Mining Industry</w:t>
            </w:r>
          </w:p>
        </w:tc>
        <w:tc>
          <w:tcPr>
            <w:tcW w:w="846"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43</w:t>
            </w:r>
          </w:p>
        </w:tc>
      </w:tr>
      <w:tr w:rsidR="002454F6" w:rsidRPr="002454F6" w:rsidTr="00EC5291">
        <w:trPr>
          <w:trHeight w:val="300"/>
        </w:trPr>
        <w:tc>
          <w:tcPr>
            <w:tcW w:w="1967"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E</w:t>
            </w:r>
          </w:p>
        </w:tc>
        <w:tc>
          <w:tcPr>
            <w:tcW w:w="6863"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Construction Industry</w:t>
            </w:r>
          </w:p>
        </w:tc>
        <w:tc>
          <w:tcPr>
            <w:tcW w:w="846"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33</w:t>
            </w:r>
          </w:p>
        </w:tc>
      </w:tr>
      <w:tr w:rsidR="002454F6" w:rsidRPr="002454F6" w:rsidTr="00EC5291">
        <w:trPr>
          <w:trHeight w:val="300"/>
        </w:trPr>
        <w:tc>
          <w:tcPr>
            <w:tcW w:w="1967"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I</w:t>
            </w:r>
          </w:p>
        </w:tc>
        <w:tc>
          <w:tcPr>
            <w:tcW w:w="6863"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Information Transmission, Software and IT Services</w:t>
            </w:r>
          </w:p>
        </w:tc>
        <w:tc>
          <w:tcPr>
            <w:tcW w:w="846"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18</w:t>
            </w:r>
          </w:p>
        </w:tc>
      </w:tr>
      <w:tr w:rsidR="002454F6" w:rsidRPr="002454F6" w:rsidTr="00EC5291">
        <w:trPr>
          <w:trHeight w:val="300"/>
        </w:trPr>
        <w:tc>
          <w:tcPr>
            <w:tcW w:w="1967"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J</w:t>
            </w:r>
          </w:p>
        </w:tc>
        <w:tc>
          <w:tcPr>
            <w:tcW w:w="6863"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Financial Industry</w:t>
            </w:r>
          </w:p>
        </w:tc>
        <w:tc>
          <w:tcPr>
            <w:tcW w:w="846"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17</w:t>
            </w:r>
          </w:p>
        </w:tc>
      </w:tr>
      <w:tr w:rsidR="002454F6" w:rsidRPr="002454F6" w:rsidTr="00EC5291">
        <w:trPr>
          <w:trHeight w:val="300"/>
        </w:trPr>
        <w:tc>
          <w:tcPr>
            <w:tcW w:w="1967"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A</w:t>
            </w:r>
          </w:p>
        </w:tc>
        <w:tc>
          <w:tcPr>
            <w:tcW w:w="6863"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Agriculture, forestry, animal husbandry and fishery</w:t>
            </w:r>
          </w:p>
        </w:tc>
        <w:tc>
          <w:tcPr>
            <w:tcW w:w="846"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12</w:t>
            </w:r>
          </w:p>
        </w:tc>
      </w:tr>
      <w:tr w:rsidR="002454F6" w:rsidRPr="002454F6" w:rsidTr="00EC5291">
        <w:trPr>
          <w:trHeight w:val="300"/>
        </w:trPr>
        <w:tc>
          <w:tcPr>
            <w:tcW w:w="1967"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N</w:t>
            </w:r>
          </w:p>
        </w:tc>
        <w:tc>
          <w:tcPr>
            <w:tcW w:w="6863"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Environment and public facility management industry</w:t>
            </w:r>
          </w:p>
        </w:tc>
        <w:tc>
          <w:tcPr>
            <w:tcW w:w="846"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10</w:t>
            </w:r>
          </w:p>
        </w:tc>
      </w:tr>
      <w:tr w:rsidR="002454F6" w:rsidRPr="002454F6" w:rsidTr="00EC5291">
        <w:trPr>
          <w:trHeight w:val="300"/>
        </w:trPr>
        <w:tc>
          <w:tcPr>
            <w:tcW w:w="1967"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L</w:t>
            </w:r>
          </w:p>
        </w:tc>
        <w:tc>
          <w:tcPr>
            <w:tcW w:w="6863"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Leasing and Commercial Service Industry</w:t>
            </w:r>
          </w:p>
        </w:tc>
        <w:tc>
          <w:tcPr>
            <w:tcW w:w="846"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9</w:t>
            </w:r>
          </w:p>
        </w:tc>
      </w:tr>
      <w:tr w:rsidR="002454F6" w:rsidRPr="002454F6" w:rsidTr="00EC5291">
        <w:trPr>
          <w:trHeight w:val="300"/>
        </w:trPr>
        <w:tc>
          <w:tcPr>
            <w:tcW w:w="1967"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H</w:t>
            </w:r>
          </w:p>
        </w:tc>
        <w:tc>
          <w:tcPr>
            <w:tcW w:w="6863"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Accommodation and Catering Industry</w:t>
            </w:r>
          </w:p>
        </w:tc>
        <w:tc>
          <w:tcPr>
            <w:tcW w:w="846"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7</w:t>
            </w:r>
          </w:p>
        </w:tc>
      </w:tr>
      <w:tr w:rsidR="002454F6" w:rsidRPr="002454F6" w:rsidTr="00EC5291">
        <w:trPr>
          <w:trHeight w:val="300"/>
        </w:trPr>
        <w:tc>
          <w:tcPr>
            <w:tcW w:w="1967"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M</w:t>
            </w:r>
          </w:p>
        </w:tc>
        <w:tc>
          <w:tcPr>
            <w:tcW w:w="6863"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Scientific research and technical service industry</w:t>
            </w:r>
          </w:p>
        </w:tc>
        <w:tc>
          <w:tcPr>
            <w:tcW w:w="846"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7</w:t>
            </w:r>
          </w:p>
        </w:tc>
      </w:tr>
      <w:tr w:rsidR="002454F6" w:rsidRPr="002454F6" w:rsidTr="00EC5291">
        <w:trPr>
          <w:trHeight w:val="300"/>
        </w:trPr>
        <w:tc>
          <w:tcPr>
            <w:tcW w:w="1967"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R</w:t>
            </w:r>
          </w:p>
        </w:tc>
        <w:tc>
          <w:tcPr>
            <w:tcW w:w="6863"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Cultural, sports and entertainment industry</w:t>
            </w:r>
          </w:p>
        </w:tc>
        <w:tc>
          <w:tcPr>
            <w:tcW w:w="846"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5</w:t>
            </w:r>
          </w:p>
        </w:tc>
      </w:tr>
      <w:tr w:rsidR="002454F6" w:rsidRPr="002454F6" w:rsidTr="00EC5291">
        <w:trPr>
          <w:trHeight w:val="300"/>
        </w:trPr>
        <w:tc>
          <w:tcPr>
            <w:tcW w:w="1967"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S</w:t>
            </w:r>
          </w:p>
        </w:tc>
        <w:tc>
          <w:tcPr>
            <w:tcW w:w="6863"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Diversified industry</w:t>
            </w:r>
          </w:p>
        </w:tc>
        <w:tc>
          <w:tcPr>
            <w:tcW w:w="846" w:type="dxa"/>
            <w:tcBorders>
              <w:top w:val="nil"/>
              <w:left w:val="nil"/>
              <w:bottom w:val="nil"/>
              <w:right w:val="nil"/>
            </w:tcBorders>
            <w:shd w:val="clear" w:color="auto" w:fill="auto"/>
            <w:noWrap/>
            <w:vAlign w:val="bottom"/>
            <w:hideMark/>
          </w:tcPr>
          <w:p w:rsidR="002454F6" w:rsidRPr="002454F6" w:rsidRDefault="002454F6" w:rsidP="002454F6">
            <w:pPr>
              <w:rPr>
                <w:color w:val="000000"/>
                <w:sz w:val="22"/>
                <w:szCs w:val="22"/>
              </w:rPr>
            </w:pPr>
            <w:r w:rsidRPr="002454F6">
              <w:rPr>
                <w:color w:val="000000"/>
                <w:sz w:val="22"/>
                <w:szCs w:val="22"/>
              </w:rPr>
              <w:t>5</w:t>
            </w:r>
          </w:p>
        </w:tc>
      </w:tr>
    </w:tbl>
    <w:p w:rsidR="00BE1A5E" w:rsidRDefault="00BE1A5E" w:rsidP="00F42938"/>
    <w:p w:rsidR="001A50D5" w:rsidRDefault="001A50D5" w:rsidP="00F42938"/>
    <w:p w:rsidR="001A50D5" w:rsidRPr="00647F6C" w:rsidRDefault="001A50D5" w:rsidP="001A50D5">
      <w:pPr>
        <w:spacing w:line="480" w:lineRule="auto"/>
        <w:jc w:val="both"/>
        <w:rPr>
          <w:highlight w:val="yellow"/>
        </w:rPr>
      </w:pPr>
      <w:r>
        <w:t xml:space="preserve">Table 1 summarizes the industry distribution of the 812 SOEs. The firms are classified into 16 industry categories using </w:t>
      </w:r>
      <w:r w:rsidRPr="00230E70">
        <w:t>China Securities Regulatory Commission (CSRC) codes</w:t>
      </w:r>
      <w:r>
        <w:t xml:space="preserve">. Note that manufacturing is a broad classification that includes metals, automotive, beverages, home appliances, and more. Manufacturing </w:t>
      </w:r>
      <w:r>
        <w:lastRenderedPageBreak/>
        <w:t xml:space="preserve">industry has achieved large economies of scale in China due to the low labor cost, increasing use of technology and good infrastructure. Not surprisingly, half of the </w:t>
      </w:r>
      <w:r>
        <w:rPr>
          <w:rFonts w:hint="eastAsia"/>
        </w:rPr>
        <w:t>Chinese</w:t>
      </w:r>
      <w:r>
        <w:t xml:space="preserve"> SOEs are distributed in manufacturing industry. Public utility and transportation sectors are normally taken over by big SOEs, so as mining and construction operations on the top of the list. In early 20th century, China’s retail industry was dominated by state-owned retailers. In past decades, state-owned retailers are relatively shrinking with the expansion of private </w:t>
      </w:r>
      <w:r w:rsidRPr="005B702A">
        <w:t xml:space="preserve">enterprises (Zhuang, 2013). </w:t>
      </w:r>
      <w:r>
        <w:t xml:space="preserve">However, retail is still one important industry that Chinese SOEs operate in. </w:t>
      </w:r>
    </w:p>
    <w:p w:rsidR="009B6420" w:rsidRDefault="009B6420" w:rsidP="008B674B">
      <w:bookmarkStart w:id="29" w:name="_gjdgxs" w:colFirst="0" w:colLast="0"/>
      <w:bookmarkEnd w:id="29"/>
    </w:p>
    <w:p w:rsidR="009B6420" w:rsidRDefault="009B6420" w:rsidP="008B674B"/>
    <w:p w:rsidR="002454F6" w:rsidRDefault="00F42938" w:rsidP="008B674B">
      <w:pPr>
        <w:jc w:val="center"/>
      </w:pPr>
      <w:r>
        <w:rPr>
          <w:noProof/>
        </w:rPr>
        <w:drawing>
          <wp:inline distT="0" distB="0" distL="0" distR="0">
            <wp:extent cx="2581259" cy="12879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ze1.png"/>
                    <pic:cNvPicPr/>
                  </pic:nvPicPr>
                  <pic:blipFill rotWithShape="1">
                    <a:blip r:embed="rId7">
                      <a:extLst>
                        <a:ext uri="{28A0092B-C50C-407E-A947-70E740481C1C}">
                          <a14:useLocalDpi xmlns:a14="http://schemas.microsoft.com/office/drawing/2010/main" val="0"/>
                        </a:ext>
                      </a:extLst>
                    </a:blip>
                    <a:srcRect b="2771"/>
                    <a:stretch/>
                  </pic:blipFill>
                  <pic:spPr bwMode="auto">
                    <a:xfrm>
                      <a:off x="0" y="0"/>
                      <a:ext cx="2648881" cy="1321707"/>
                    </a:xfrm>
                    <a:prstGeom prst="rect">
                      <a:avLst/>
                    </a:prstGeom>
                    <a:ln>
                      <a:noFill/>
                    </a:ln>
                    <a:extLst>
                      <a:ext uri="{53640926-AAD7-44D8-BBD7-CCE9431645EC}">
                        <a14:shadowObscured xmlns:a14="http://schemas.microsoft.com/office/drawing/2010/main"/>
                      </a:ext>
                    </a:extLst>
                  </pic:spPr>
                </pic:pic>
              </a:graphicData>
            </a:graphic>
          </wp:inline>
        </w:drawing>
      </w:r>
      <w:r w:rsidR="008B674B">
        <w:t xml:space="preserve">                    </w:t>
      </w:r>
      <w:r>
        <w:rPr>
          <w:noProof/>
        </w:rPr>
        <w:drawing>
          <wp:inline distT="0" distB="0" distL="0" distR="0">
            <wp:extent cx="2469995" cy="12966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ze2.png"/>
                    <pic:cNvPicPr/>
                  </pic:nvPicPr>
                  <pic:blipFill>
                    <a:blip r:embed="rId8">
                      <a:extLst>
                        <a:ext uri="{28A0092B-C50C-407E-A947-70E740481C1C}">
                          <a14:useLocalDpi xmlns:a14="http://schemas.microsoft.com/office/drawing/2010/main" val="0"/>
                        </a:ext>
                      </a:extLst>
                    </a:blip>
                    <a:stretch>
                      <a:fillRect/>
                    </a:stretch>
                  </pic:blipFill>
                  <pic:spPr>
                    <a:xfrm>
                      <a:off x="0" y="0"/>
                      <a:ext cx="2522275" cy="1324054"/>
                    </a:xfrm>
                    <a:prstGeom prst="rect">
                      <a:avLst/>
                    </a:prstGeom>
                  </pic:spPr>
                </pic:pic>
              </a:graphicData>
            </a:graphic>
          </wp:inline>
        </w:drawing>
      </w:r>
    </w:p>
    <w:p w:rsidR="002454F6" w:rsidRDefault="002454F6"/>
    <w:p w:rsidR="00DE211D" w:rsidRDefault="00DE211D" w:rsidP="00DE211D">
      <w:pPr>
        <w:jc w:val="center"/>
      </w:pPr>
      <w:r>
        <w:t>Fig. 1.</w:t>
      </w:r>
      <w:r>
        <w:tab/>
      </w:r>
      <w:bookmarkStart w:id="30" w:name="OLE_LINK39"/>
      <w:bookmarkStart w:id="31" w:name="OLE_LINK40"/>
      <w:r w:rsidR="000037E8">
        <w:t>Firm size composition by revenue</w:t>
      </w:r>
      <w:bookmarkEnd w:id="30"/>
      <w:bookmarkEnd w:id="31"/>
      <w:r w:rsidR="00B04727">
        <w:tab/>
      </w:r>
      <w:r w:rsidR="00B04727">
        <w:tab/>
      </w:r>
      <w:r>
        <w:t>Fig. 2.</w:t>
      </w:r>
      <w:r w:rsidR="000037E8" w:rsidRPr="000037E8">
        <w:t xml:space="preserve"> </w:t>
      </w:r>
      <w:r w:rsidR="000037E8">
        <w:t>Firm size composition by assets</w:t>
      </w:r>
    </w:p>
    <w:p w:rsidR="002454F6" w:rsidRDefault="002454F6"/>
    <w:p w:rsidR="00F05AE7" w:rsidRDefault="00604227">
      <w:r>
        <w:tab/>
      </w:r>
      <w:r>
        <w:tab/>
      </w:r>
      <w:r>
        <w:tab/>
      </w:r>
      <w:r>
        <w:tab/>
      </w:r>
    </w:p>
    <w:p w:rsidR="0078218B" w:rsidRDefault="007D0447" w:rsidP="00B73F9B">
      <w:pPr>
        <w:spacing w:line="480" w:lineRule="auto"/>
        <w:jc w:val="both"/>
      </w:pPr>
      <w:bookmarkStart w:id="32" w:name="OLE_LINK3"/>
      <w:bookmarkStart w:id="33" w:name="OLE_LINK4"/>
      <w:r>
        <w:t>Fig.</w:t>
      </w:r>
      <w:r w:rsidR="00604227">
        <w:t xml:space="preserve"> 1 and </w:t>
      </w:r>
      <w:r>
        <w:t>fig.</w:t>
      </w:r>
      <w:r w:rsidR="00604227">
        <w:t xml:space="preserve"> 2 present the firm size composition in terms of total revenue and total assets. Graph 1 shows that only 15 of the 812 firms are relatively large firms with average revenue 103,354 million USD, contributing to 1% - 12% of all the sample firms</w:t>
      </w:r>
      <w:r w:rsidR="00583115">
        <w:t>’</w:t>
      </w:r>
      <w:r w:rsidR="00604227">
        <w:t xml:space="preserve"> total revenue; 132 of them are medium large firms with average annual revenue 8,420 million USD and 263 of them are very small firms taking up less than 0.01% of total revenue. Around half of the firms are medium small firms with average revenue 1,158 million USD, contributing to 0.01% to 0.1% of total revenue. </w:t>
      </w:r>
      <w:r w:rsidR="009F5654">
        <w:t xml:space="preserve">Fig. </w:t>
      </w:r>
      <w:r w:rsidR="00604227">
        <w:t xml:space="preserve">2 illustrates similar results with respect to total assets: only 2% of the 812 firms are large firms; around 20% are medium large firms and another 23% are very small firms; 55% of </w:t>
      </w:r>
    </w:p>
    <w:p w:rsidR="001C5883" w:rsidRDefault="0078218B" w:rsidP="00B73F9B">
      <w:pPr>
        <w:spacing w:line="480" w:lineRule="auto"/>
        <w:jc w:val="both"/>
      </w:pPr>
      <w:r>
        <w:t xml:space="preserve"> </w:t>
      </w:r>
      <w:r w:rsidR="00604227">
        <w:t xml:space="preserve">the firms are medium small firms that individually contributes to 0.01% to 0.1% of total assets of all </w:t>
      </w:r>
      <w:r w:rsidR="002D6FF7">
        <w:t xml:space="preserve">sample </w:t>
      </w:r>
      <w:r w:rsidR="00604227">
        <w:t xml:space="preserve">firms. The description of firm size here only loosely refers to the relative size of the firm compared to the peer SOEs in the same sample. The relatively “very small” firm here </w:t>
      </w:r>
      <w:r w:rsidR="00733523">
        <w:t xml:space="preserve">corresponds to a firm </w:t>
      </w:r>
      <w:r w:rsidR="00604227">
        <w:t xml:space="preserve">with average annual revenue 170 million USD </w:t>
      </w:r>
      <w:r w:rsidR="00882574">
        <w:t xml:space="preserve">that </w:t>
      </w:r>
      <w:r w:rsidR="00604227">
        <w:t xml:space="preserve">actually applies to </w:t>
      </w:r>
      <w:bookmarkStart w:id="34" w:name="OLE_LINK46"/>
      <w:bookmarkStart w:id="35" w:name="OLE_LINK47"/>
      <w:r w:rsidR="00604227">
        <w:t>the general definition of a medium-sized business.</w:t>
      </w:r>
    </w:p>
    <w:bookmarkEnd w:id="32"/>
    <w:bookmarkEnd w:id="33"/>
    <w:bookmarkEnd w:id="34"/>
    <w:bookmarkEnd w:id="35"/>
    <w:p w:rsidR="00485FDF" w:rsidRDefault="00485FDF" w:rsidP="00B73F9B">
      <w:pPr>
        <w:spacing w:line="480" w:lineRule="auto"/>
        <w:jc w:val="both"/>
      </w:pPr>
    </w:p>
    <w:p w:rsidR="001C5883" w:rsidRDefault="00485FDF" w:rsidP="00B73F9B">
      <w:pPr>
        <w:spacing w:line="480" w:lineRule="auto"/>
        <w:jc w:val="both"/>
      </w:pPr>
      <w:r w:rsidRPr="007433A3">
        <w:t xml:space="preserve">Table 2 presents summary statistics for the 812 state-owned enterprises during the period 2000-2017. Panel A contains aggregate firm characteristics. All variables excluding the profitability have positive skewness </w:t>
      </w:r>
      <w:r w:rsidRPr="007433A3">
        <w:lastRenderedPageBreak/>
        <w:t>with absolute value far greater than 1, indicating that the distributions of firm characteristics are highly skewed to the right.</w:t>
      </w:r>
    </w:p>
    <w:p w:rsidR="00485FDF" w:rsidRDefault="00485FDF"/>
    <w:p w:rsidR="00BE1A5E" w:rsidRDefault="001C5883">
      <w:r>
        <w:t>Table 2</w:t>
      </w:r>
      <w:r w:rsidR="00DA5E1A">
        <w:t>. Summary Statistics</w:t>
      </w:r>
    </w:p>
    <w:tbl>
      <w:tblPr>
        <w:tblpPr w:leftFromText="180" w:rightFromText="180" w:vertAnchor="page" w:horzAnchor="margin" w:tblpY="2803"/>
        <w:tblW w:w="10460" w:type="dxa"/>
        <w:tblLook w:val="04A0" w:firstRow="1" w:lastRow="0" w:firstColumn="1" w:lastColumn="0" w:noHBand="0" w:noVBand="1"/>
      </w:tblPr>
      <w:tblGrid>
        <w:gridCol w:w="2552"/>
        <w:gridCol w:w="1276"/>
        <w:gridCol w:w="1275"/>
        <w:gridCol w:w="1276"/>
        <w:gridCol w:w="1418"/>
        <w:gridCol w:w="74"/>
        <w:gridCol w:w="1343"/>
        <w:gridCol w:w="733"/>
        <w:gridCol w:w="513"/>
      </w:tblGrid>
      <w:tr w:rsidR="00485FDF" w:rsidRPr="001C5C91" w:rsidTr="00485FDF">
        <w:trPr>
          <w:trHeight w:val="145"/>
        </w:trPr>
        <w:tc>
          <w:tcPr>
            <w:tcW w:w="3828" w:type="dxa"/>
            <w:gridSpan w:val="2"/>
            <w:tcBorders>
              <w:top w:val="nil"/>
              <w:left w:val="nil"/>
              <w:bottom w:val="single" w:sz="8" w:space="0" w:color="000000"/>
              <w:right w:val="nil"/>
            </w:tcBorders>
            <w:shd w:val="clear" w:color="auto" w:fill="auto"/>
            <w:noWrap/>
            <w:hideMark/>
          </w:tcPr>
          <w:p w:rsidR="00485FDF" w:rsidRPr="00F17E03" w:rsidRDefault="00485FDF" w:rsidP="00485FDF">
            <w:pPr>
              <w:rPr>
                <w:sz w:val="20"/>
                <w:szCs w:val="20"/>
              </w:rPr>
            </w:pPr>
            <w:r w:rsidRPr="00F17E03">
              <w:rPr>
                <w:sz w:val="20"/>
                <w:szCs w:val="20"/>
              </w:rPr>
              <w:t>Panel A. Firm characteristic</w:t>
            </w:r>
            <w:r>
              <w:rPr>
                <w:sz w:val="20"/>
                <w:szCs w:val="20"/>
              </w:rPr>
              <w:t>s</w:t>
            </w:r>
          </w:p>
        </w:tc>
        <w:tc>
          <w:tcPr>
            <w:tcW w:w="1275" w:type="dxa"/>
            <w:tcBorders>
              <w:top w:val="nil"/>
              <w:left w:val="nil"/>
              <w:bottom w:val="single" w:sz="8" w:space="0" w:color="000000"/>
              <w:right w:val="nil"/>
            </w:tcBorders>
            <w:shd w:val="clear" w:color="auto" w:fill="auto"/>
            <w:noWrap/>
            <w:hideMark/>
          </w:tcPr>
          <w:p w:rsidR="00485FDF" w:rsidRPr="00F17E03" w:rsidRDefault="00485FDF" w:rsidP="00485FDF">
            <w:pPr>
              <w:jc w:val="center"/>
              <w:rPr>
                <w:sz w:val="20"/>
                <w:szCs w:val="20"/>
              </w:rPr>
            </w:pPr>
          </w:p>
        </w:tc>
        <w:tc>
          <w:tcPr>
            <w:tcW w:w="1276" w:type="dxa"/>
            <w:tcBorders>
              <w:top w:val="nil"/>
              <w:left w:val="nil"/>
              <w:bottom w:val="single" w:sz="8" w:space="0" w:color="000000"/>
              <w:right w:val="nil"/>
            </w:tcBorders>
            <w:shd w:val="clear" w:color="auto" w:fill="auto"/>
            <w:noWrap/>
            <w:hideMark/>
          </w:tcPr>
          <w:p w:rsidR="00485FDF" w:rsidRPr="00F17E03" w:rsidRDefault="00485FDF" w:rsidP="00485FDF">
            <w:pPr>
              <w:jc w:val="center"/>
              <w:rPr>
                <w:sz w:val="20"/>
                <w:szCs w:val="20"/>
              </w:rPr>
            </w:pPr>
          </w:p>
        </w:tc>
        <w:tc>
          <w:tcPr>
            <w:tcW w:w="1492" w:type="dxa"/>
            <w:gridSpan w:val="2"/>
            <w:tcBorders>
              <w:top w:val="nil"/>
              <w:left w:val="nil"/>
              <w:bottom w:val="single" w:sz="8" w:space="0" w:color="000000"/>
              <w:right w:val="nil"/>
            </w:tcBorders>
            <w:shd w:val="clear" w:color="auto" w:fill="auto"/>
            <w:noWrap/>
            <w:hideMark/>
          </w:tcPr>
          <w:p w:rsidR="00485FDF" w:rsidRPr="00F17E03" w:rsidRDefault="00485FDF" w:rsidP="00485FDF">
            <w:pPr>
              <w:jc w:val="center"/>
              <w:rPr>
                <w:sz w:val="20"/>
                <w:szCs w:val="20"/>
              </w:rPr>
            </w:pPr>
          </w:p>
        </w:tc>
        <w:tc>
          <w:tcPr>
            <w:tcW w:w="2076" w:type="dxa"/>
            <w:gridSpan w:val="2"/>
            <w:tcBorders>
              <w:top w:val="nil"/>
              <w:left w:val="nil"/>
              <w:bottom w:val="single" w:sz="8" w:space="0" w:color="000000"/>
              <w:right w:val="nil"/>
            </w:tcBorders>
            <w:shd w:val="clear" w:color="auto" w:fill="auto"/>
            <w:noWrap/>
            <w:hideMark/>
          </w:tcPr>
          <w:p w:rsidR="00485FDF" w:rsidRPr="00F17E03" w:rsidRDefault="00485FDF" w:rsidP="00485FDF">
            <w:pPr>
              <w:jc w:val="center"/>
              <w:rPr>
                <w:sz w:val="20"/>
                <w:szCs w:val="20"/>
              </w:rPr>
            </w:pPr>
          </w:p>
        </w:tc>
        <w:tc>
          <w:tcPr>
            <w:tcW w:w="513" w:type="dxa"/>
            <w:tcBorders>
              <w:top w:val="nil"/>
              <w:left w:val="nil"/>
              <w:bottom w:val="single" w:sz="8" w:space="0" w:color="000000"/>
              <w:right w:val="nil"/>
            </w:tcBorders>
            <w:shd w:val="clear" w:color="auto" w:fill="auto"/>
            <w:noWrap/>
            <w:hideMark/>
          </w:tcPr>
          <w:p w:rsidR="00485FDF" w:rsidRPr="00F17E03" w:rsidRDefault="00485FDF" w:rsidP="00485FDF">
            <w:pPr>
              <w:jc w:val="center"/>
              <w:rPr>
                <w:sz w:val="20"/>
                <w:szCs w:val="20"/>
              </w:rPr>
            </w:pPr>
          </w:p>
        </w:tc>
      </w:tr>
      <w:tr w:rsidR="00485FDF" w:rsidRPr="001C5C91" w:rsidTr="00485FDF">
        <w:trPr>
          <w:trHeight w:val="281"/>
        </w:trPr>
        <w:tc>
          <w:tcPr>
            <w:tcW w:w="2552" w:type="dxa"/>
            <w:tcBorders>
              <w:top w:val="nil"/>
              <w:left w:val="nil"/>
              <w:bottom w:val="single" w:sz="8" w:space="0" w:color="000000"/>
              <w:right w:val="nil"/>
            </w:tcBorders>
            <w:shd w:val="clear" w:color="auto" w:fill="auto"/>
            <w:noWrap/>
            <w:hideMark/>
          </w:tcPr>
          <w:p w:rsidR="00485FDF" w:rsidRPr="00F17E03" w:rsidRDefault="00485FDF" w:rsidP="00485FDF">
            <w:pPr>
              <w:jc w:val="center"/>
              <w:rPr>
                <w:sz w:val="20"/>
                <w:szCs w:val="20"/>
              </w:rPr>
            </w:pPr>
          </w:p>
        </w:tc>
        <w:tc>
          <w:tcPr>
            <w:tcW w:w="1276" w:type="dxa"/>
            <w:tcBorders>
              <w:top w:val="nil"/>
              <w:left w:val="nil"/>
              <w:bottom w:val="single" w:sz="8" w:space="0" w:color="000000"/>
              <w:right w:val="nil"/>
            </w:tcBorders>
            <w:shd w:val="clear" w:color="auto" w:fill="auto"/>
            <w:noWrap/>
            <w:hideMark/>
          </w:tcPr>
          <w:p w:rsidR="00485FDF" w:rsidRPr="00F17E03" w:rsidRDefault="00485FDF" w:rsidP="00485FDF">
            <w:pPr>
              <w:rPr>
                <w:sz w:val="20"/>
                <w:szCs w:val="20"/>
              </w:rPr>
            </w:pPr>
            <w:r w:rsidRPr="00F17E03">
              <w:rPr>
                <w:sz w:val="20"/>
                <w:szCs w:val="20"/>
              </w:rPr>
              <w:t>Mean</w:t>
            </w:r>
          </w:p>
        </w:tc>
        <w:tc>
          <w:tcPr>
            <w:tcW w:w="1275" w:type="dxa"/>
            <w:tcBorders>
              <w:top w:val="nil"/>
              <w:left w:val="nil"/>
              <w:bottom w:val="single" w:sz="8" w:space="0" w:color="000000"/>
              <w:right w:val="nil"/>
            </w:tcBorders>
            <w:shd w:val="clear" w:color="auto" w:fill="auto"/>
            <w:noWrap/>
            <w:hideMark/>
          </w:tcPr>
          <w:p w:rsidR="00485FDF" w:rsidRPr="00F17E03" w:rsidRDefault="00485FDF" w:rsidP="00485FDF">
            <w:pPr>
              <w:rPr>
                <w:sz w:val="20"/>
                <w:szCs w:val="20"/>
              </w:rPr>
            </w:pPr>
            <w:r w:rsidRPr="00F17E03">
              <w:rPr>
                <w:sz w:val="20"/>
                <w:szCs w:val="20"/>
              </w:rPr>
              <w:t>Median</w:t>
            </w:r>
          </w:p>
        </w:tc>
        <w:tc>
          <w:tcPr>
            <w:tcW w:w="1276" w:type="dxa"/>
            <w:tcBorders>
              <w:top w:val="nil"/>
              <w:left w:val="nil"/>
              <w:bottom w:val="single" w:sz="8" w:space="0" w:color="000000"/>
              <w:right w:val="nil"/>
            </w:tcBorders>
            <w:shd w:val="clear" w:color="auto" w:fill="auto"/>
            <w:noWrap/>
            <w:hideMark/>
          </w:tcPr>
          <w:p w:rsidR="00485FDF" w:rsidRPr="00F17E03" w:rsidRDefault="00485FDF" w:rsidP="00485FDF">
            <w:pPr>
              <w:rPr>
                <w:sz w:val="20"/>
                <w:szCs w:val="20"/>
              </w:rPr>
            </w:pPr>
            <w:r w:rsidRPr="00F17E03">
              <w:rPr>
                <w:sz w:val="20"/>
                <w:szCs w:val="20"/>
              </w:rPr>
              <w:t>St. dev</w:t>
            </w:r>
          </w:p>
        </w:tc>
        <w:tc>
          <w:tcPr>
            <w:tcW w:w="1418" w:type="dxa"/>
            <w:tcBorders>
              <w:top w:val="nil"/>
              <w:left w:val="nil"/>
              <w:bottom w:val="single" w:sz="8" w:space="0" w:color="000000"/>
              <w:right w:val="nil"/>
            </w:tcBorders>
            <w:shd w:val="clear" w:color="auto" w:fill="auto"/>
            <w:noWrap/>
            <w:hideMark/>
          </w:tcPr>
          <w:p w:rsidR="00485FDF" w:rsidRPr="00F17E03" w:rsidRDefault="00485FDF" w:rsidP="00485FDF">
            <w:pPr>
              <w:rPr>
                <w:sz w:val="20"/>
                <w:szCs w:val="20"/>
              </w:rPr>
            </w:pPr>
            <w:r w:rsidRPr="00F17E03">
              <w:rPr>
                <w:sz w:val="20"/>
                <w:szCs w:val="20"/>
              </w:rPr>
              <w:t>10th percentile</w:t>
            </w:r>
          </w:p>
        </w:tc>
        <w:tc>
          <w:tcPr>
            <w:tcW w:w="1417" w:type="dxa"/>
            <w:gridSpan w:val="2"/>
            <w:tcBorders>
              <w:top w:val="nil"/>
              <w:left w:val="nil"/>
              <w:bottom w:val="single" w:sz="8" w:space="0" w:color="000000"/>
              <w:right w:val="nil"/>
            </w:tcBorders>
            <w:shd w:val="clear" w:color="auto" w:fill="auto"/>
            <w:noWrap/>
            <w:hideMark/>
          </w:tcPr>
          <w:p w:rsidR="00485FDF" w:rsidRPr="00F17E03" w:rsidRDefault="00485FDF" w:rsidP="00485FDF">
            <w:pPr>
              <w:rPr>
                <w:sz w:val="20"/>
                <w:szCs w:val="20"/>
              </w:rPr>
            </w:pPr>
            <w:r w:rsidRPr="00F17E03">
              <w:rPr>
                <w:sz w:val="20"/>
                <w:szCs w:val="20"/>
              </w:rPr>
              <w:t>90th percentile</w:t>
            </w:r>
          </w:p>
        </w:tc>
        <w:tc>
          <w:tcPr>
            <w:tcW w:w="1246" w:type="dxa"/>
            <w:gridSpan w:val="2"/>
            <w:tcBorders>
              <w:top w:val="nil"/>
              <w:left w:val="nil"/>
              <w:bottom w:val="single" w:sz="8" w:space="0" w:color="000000"/>
              <w:right w:val="nil"/>
            </w:tcBorders>
            <w:shd w:val="clear" w:color="auto" w:fill="auto"/>
            <w:noWrap/>
            <w:hideMark/>
          </w:tcPr>
          <w:p w:rsidR="00485FDF" w:rsidRPr="00F17E03" w:rsidRDefault="00485FDF" w:rsidP="00485FDF">
            <w:pPr>
              <w:rPr>
                <w:sz w:val="20"/>
                <w:szCs w:val="20"/>
              </w:rPr>
            </w:pPr>
            <w:r w:rsidRPr="00F17E03">
              <w:rPr>
                <w:sz w:val="20"/>
                <w:szCs w:val="20"/>
              </w:rPr>
              <w:t>Skewness</w:t>
            </w:r>
          </w:p>
        </w:tc>
      </w:tr>
      <w:tr w:rsidR="00485FDF" w:rsidRPr="001C5C91" w:rsidTr="00485FDF">
        <w:trPr>
          <w:trHeight w:val="281"/>
        </w:trPr>
        <w:tc>
          <w:tcPr>
            <w:tcW w:w="2552" w:type="dxa"/>
            <w:tcBorders>
              <w:top w:val="nil"/>
              <w:left w:val="nil"/>
              <w:bottom w:val="nil"/>
              <w:right w:val="nil"/>
            </w:tcBorders>
            <w:shd w:val="clear" w:color="auto" w:fill="auto"/>
            <w:noWrap/>
            <w:hideMark/>
          </w:tcPr>
          <w:p w:rsidR="00485FDF" w:rsidRPr="00F17E03" w:rsidRDefault="00485FDF" w:rsidP="00485FDF">
            <w:pPr>
              <w:rPr>
                <w:sz w:val="20"/>
                <w:szCs w:val="20"/>
              </w:rPr>
            </w:pPr>
            <w:r>
              <w:rPr>
                <w:sz w:val="20"/>
                <w:szCs w:val="20"/>
              </w:rPr>
              <w:t>Leverage</w:t>
            </w:r>
            <w:r w:rsidRPr="00F17E03">
              <w:rPr>
                <w:sz w:val="20"/>
                <w:szCs w:val="20"/>
              </w:rPr>
              <w:t xml:space="preserve"> (ratio)</w:t>
            </w:r>
          </w:p>
        </w:tc>
        <w:tc>
          <w:tcPr>
            <w:tcW w:w="1276"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55.97</w:t>
            </w:r>
          </w:p>
        </w:tc>
        <w:tc>
          <w:tcPr>
            <w:tcW w:w="1275"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53.89</w:t>
            </w:r>
          </w:p>
        </w:tc>
        <w:tc>
          <w:tcPr>
            <w:tcW w:w="1276"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133.25</w:t>
            </w:r>
          </w:p>
        </w:tc>
        <w:tc>
          <w:tcPr>
            <w:tcW w:w="1418"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24.74</w:t>
            </w:r>
          </w:p>
        </w:tc>
        <w:tc>
          <w:tcPr>
            <w:tcW w:w="1417" w:type="dxa"/>
            <w:gridSpan w:val="2"/>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78.99</w:t>
            </w:r>
          </w:p>
        </w:tc>
        <w:tc>
          <w:tcPr>
            <w:tcW w:w="1246" w:type="dxa"/>
            <w:gridSpan w:val="2"/>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56.95</w:t>
            </w:r>
          </w:p>
        </w:tc>
      </w:tr>
      <w:tr w:rsidR="00485FDF" w:rsidRPr="001C5C91" w:rsidTr="00485FDF">
        <w:trPr>
          <w:trHeight w:val="281"/>
        </w:trPr>
        <w:tc>
          <w:tcPr>
            <w:tcW w:w="2552"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Net Profit</w:t>
            </w:r>
          </w:p>
        </w:tc>
        <w:tc>
          <w:tcPr>
            <w:tcW w:w="1276"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107.60</w:t>
            </w:r>
          </w:p>
        </w:tc>
        <w:tc>
          <w:tcPr>
            <w:tcW w:w="1275"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12.95</w:t>
            </w:r>
          </w:p>
        </w:tc>
        <w:tc>
          <w:tcPr>
            <w:tcW w:w="1276"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729.49</w:t>
            </w:r>
          </w:p>
        </w:tc>
        <w:tc>
          <w:tcPr>
            <w:tcW w:w="1418"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0.07</w:t>
            </w:r>
          </w:p>
        </w:tc>
        <w:tc>
          <w:tcPr>
            <w:tcW w:w="1417" w:type="dxa"/>
            <w:gridSpan w:val="2"/>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167.63</w:t>
            </w:r>
          </w:p>
        </w:tc>
        <w:tc>
          <w:tcPr>
            <w:tcW w:w="1246" w:type="dxa"/>
            <w:gridSpan w:val="2"/>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19.20</w:t>
            </w:r>
          </w:p>
        </w:tc>
      </w:tr>
      <w:tr w:rsidR="00485FDF" w:rsidRPr="001C5C91" w:rsidTr="00485FDF">
        <w:trPr>
          <w:trHeight w:val="281"/>
        </w:trPr>
        <w:tc>
          <w:tcPr>
            <w:tcW w:w="2552"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Profitability (ratio)</w:t>
            </w:r>
          </w:p>
        </w:tc>
        <w:tc>
          <w:tcPr>
            <w:tcW w:w="1276"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8.75</w:t>
            </w:r>
          </w:p>
        </w:tc>
        <w:tc>
          <w:tcPr>
            <w:tcW w:w="1275"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8.62</w:t>
            </w:r>
          </w:p>
        </w:tc>
        <w:tc>
          <w:tcPr>
            <w:tcW w:w="1276"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272.69</w:t>
            </w:r>
          </w:p>
        </w:tc>
        <w:tc>
          <w:tcPr>
            <w:tcW w:w="1418"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1.08</w:t>
            </w:r>
          </w:p>
        </w:tc>
        <w:tc>
          <w:tcPr>
            <w:tcW w:w="1417" w:type="dxa"/>
            <w:gridSpan w:val="2"/>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30.09</w:t>
            </w:r>
          </w:p>
        </w:tc>
        <w:tc>
          <w:tcPr>
            <w:tcW w:w="1246" w:type="dxa"/>
            <w:gridSpan w:val="2"/>
            <w:tcBorders>
              <w:top w:val="nil"/>
              <w:left w:val="nil"/>
              <w:bottom w:val="nil"/>
              <w:right w:val="nil"/>
            </w:tcBorders>
            <w:shd w:val="clear" w:color="auto" w:fill="auto"/>
            <w:noWrap/>
            <w:hideMark/>
          </w:tcPr>
          <w:p w:rsidR="00485FDF" w:rsidRPr="00F17E03" w:rsidRDefault="00485FDF" w:rsidP="00485FDF">
            <w:pPr>
              <w:rPr>
                <w:sz w:val="20"/>
                <w:szCs w:val="20"/>
              </w:rPr>
            </w:pPr>
            <w:r w:rsidRPr="00703682">
              <w:rPr>
                <w:sz w:val="20"/>
                <w:szCs w:val="20"/>
              </w:rPr>
              <w:t>-109.20</w:t>
            </w:r>
          </w:p>
        </w:tc>
      </w:tr>
      <w:tr w:rsidR="00485FDF" w:rsidRPr="001C5C91" w:rsidTr="00485FDF">
        <w:trPr>
          <w:trHeight w:val="281"/>
        </w:trPr>
        <w:tc>
          <w:tcPr>
            <w:tcW w:w="2552" w:type="dxa"/>
            <w:tcBorders>
              <w:top w:val="nil"/>
              <w:left w:val="nil"/>
              <w:bottom w:val="nil"/>
              <w:right w:val="nil"/>
            </w:tcBorders>
            <w:shd w:val="clear" w:color="auto" w:fill="auto"/>
            <w:noWrap/>
          </w:tcPr>
          <w:p w:rsidR="00485FDF" w:rsidRPr="00F17E03" w:rsidRDefault="00485FDF" w:rsidP="00485FDF">
            <w:pPr>
              <w:rPr>
                <w:sz w:val="20"/>
                <w:szCs w:val="20"/>
              </w:rPr>
            </w:pPr>
            <w:r w:rsidRPr="00F17E03">
              <w:rPr>
                <w:sz w:val="20"/>
                <w:szCs w:val="20"/>
              </w:rPr>
              <w:t>Nb. Of employees (persons)</w:t>
            </w:r>
          </w:p>
        </w:tc>
        <w:tc>
          <w:tcPr>
            <w:tcW w:w="1276" w:type="dxa"/>
            <w:tcBorders>
              <w:top w:val="nil"/>
              <w:left w:val="nil"/>
              <w:bottom w:val="nil"/>
              <w:right w:val="nil"/>
            </w:tcBorders>
            <w:shd w:val="clear" w:color="auto" w:fill="auto"/>
            <w:noWrap/>
          </w:tcPr>
          <w:p w:rsidR="00485FDF" w:rsidRPr="00F17E03" w:rsidRDefault="00485FDF" w:rsidP="00485FDF">
            <w:pPr>
              <w:rPr>
                <w:sz w:val="20"/>
                <w:szCs w:val="20"/>
              </w:rPr>
            </w:pPr>
            <w:r w:rsidRPr="00F17E03">
              <w:rPr>
                <w:sz w:val="20"/>
                <w:szCs w:val="20"/>
              </w:rPr>
              <w:t>1103</w:t>
            </w:r>
            <w:r>
              <w:rPr>
                <w:sz w:val="20"/>
                <w:szCs w:val="20"/>
              </w:rPr>
              <w:t>9</w:t>
            </w:r>
          </w:p>
        </w:tc>
        <w:tc>
          <w:tcPr>
            <w:tcW w:w="1275" w:type="dxa"/>
            <w:tcBorders>
              <w:top w:val="nil"/>
              <w:left w:val="nil"/>
              <w:bottom w:val="nil"/>
              <w:right w:val="nil"/>
            </w:tcBorders>
            <w:shd w:val="clear" w:color="auto" w:fill="auto"/>
            <w:noWrap/>
          </w:tcPr>
          <w:p w:rsidR="00485FDF" w:rsidRPr="00F17E03" w:rsidRDefault="00485FDF" w:rsidP="00485FDF">
            <w:pPr>
              <w:rPr>
                <w:sz w:val="20"/>
                <w:szCs w:val="20"/>
              </w:rPr>
            </w:pPr>
            <w:r w:rsidRPr="00F17E03">
              <w:rPr>
                <w:sz w:val="20"/>
                <w:szCs w:val="20"/>
              </w:rPr>
              <w:t>3702</w:t>
            </w:r>
          </w:p>
        </w:tc>
        <w:tc>
          <w:tcPr>
            <w:tcW w:w="1276" w:type="dxa"/>
            <w:tcBorders>
              <w:top w:val="nil"/>
              <w:left w:val="nil"/>
              <w:bottom w:val="nil"/>
              <w:right w:val="nil"/>
            </w:tcBorders>
            <w:shd w:val="clear" w:color="auto" w:fill="auto"/>
            <w:noWrap/>
          </w:tcPr>
          <w:p w:rsidR="00485FDF" w:rsidRPr="00F17E03" w:rsidRDefault="00485FDF" w:rsidP="00485FDF">
            <w:pPr>
              <w:rPr>
                <w:sz w:val="20"/>
                <w:szCs w:val="20"/>
              </w:rPr>
            </w:pPr>
            <w:r w:rsidRPr="00F17E03">
              <w:rPr>
                <w:sz w:val="20"/>
                <w:szCs w:val="20"/>
              </w:rPr>
              <w:t>3325</w:t>
            </w:r>
            <w:r>
              <w:rPr>
                <w:sz w:val="20"/>
                <w:szCs w:val="20"/>
              </w:rPr>
              <w:t>5</w:t>
            </w:r>
          </w:p>
        </w:tc>
        <w:tc>
          <w:tcPr>
            <w:tcW w:w="1418" w:type="dxa"/>
            <w:tcBorders>
              <w:top w:val="nil"/>
              <w:left w:val="nil"/>
              <w:bottom w:val="nil"/>
              <w:right w:val="nil"/>
            </w:tcBorders>
            <w:shd w:val="clear" w:color="auto" w:fill="auto"/>
            <w:noWrap/>
          </w:tcPr>
          <w:p w:rsidR="00485FDF" w:rsidRPr="00F17E03" w:rsidRDefault="00485FDF" w:rsidP="00485FDF">
            <w:pPr>
              <w:rPr>
                <w:sz w:val="20"/>
                <w:szCs w:val="20"/>
              </w:rPr>
            </w:pPr>
            <w:r w:rsidRPr="00F17E03">
              <w:rPr>
                <w:sz w:val="20"/>
                <w:szCs w:val="20"/>
              </w:rPr>
              <w:t>686</w:t>
            </w:r>
          </w:p>
        </w:tc>
        <w:tc>
          <w:tcPr>
            <w:tcW w:w="1417" w:type="dxa"/>
            <w:gridSpan w:val="2"/>
            <w:tcBorders>
              <w:top w:val="nil"/>
              <w:left w:val="nil"/>
              <w:bottom w:val="nil"/>
              <w:right w:val="nil"/>
            </w:tcBorders>
            <w:shd w:val="clear" w:color="auto" w:fill="auto"/>
            <w:noWrap/>
          </w:tcPr>
          <w:p w:rsidR="00485FDF" w:rsidRPr="00F17E03" w:rsidRDefault="00485FDF" w:rsidP="00485FDF">
            <w:pPr>
              <w:rPr>
                <w:sz w:val="20"/>
                <w:szCs w:val="20"/>
              </w:rPr>
            </w:pPr>
            <w:r w:rsidRPr="00F17E03">
              <w:rPr>
                <w:sz w:val="20"/>
                <w:szCs w:val="20"/>
              </w:rPr>
              <w:t>20872</w:t>
            </w:r>
          </w:p>
        </w:tc>
        <w:tc>
          <w:tcPr>
            <w:tcW w:w="1246" w:type="dxa"/>
            <w:gridSpan w:val="2"/>
            <w:tcBorders>
              <w:top w:val="nil"/>
              <w:left w:val="nil"/>
              <w:bottom w:val="nil"/>
              <w:right w:val="nil"/>
            </w:tcBorders>
            <w:shd w:val="clear" w:color="auto" w:fill="auto"/>
            <w:noWrap/>
          </w:tcPr>
          <w:p w:rsidR="00485FDF" w:rsidRPr="00F17E03" w:rsidRDefault="00485FDF" w:rsidP="00485FDF">
            <w:pPr>
              <w:rPr>
                <w:sz w:val="20"/>
                <w:szCs w:val="20"/>
              </w:rPr>
            </w:pPr>
            <w:r w:rsidRPr="00F17E03">
              <w:rPr>
                <w:sz w:val="20"/>
                <w:szCs w:val="20"/>
              </w:rPr>
              <w:t>9.18</w:t>
            </w:r>
          </w:p>
        </w:tc>
      </w:tr>
      <w:tr w:rsidR="00485FDF" w:rsidRPr="001C5C91" w:rsidTr="00485FDF">
        <w:trPr>
          <w:trHeight w:val="281"/>
        </w:trPr>
        <w:tc>
          <w:tcPr>
            <w:tcW w:w="2552"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Long-term Debt</w:t>
            </w:r>
          </w:p>
        </w:tc>
        <w:tc>
          <w:tcPr>
            <w:tcW w:w="1276"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911.44</w:t>
            </w:r>
          </w:p>
        </w:tc>
        <w:tc>
          <w:tcPr>
            <w:tcW w:w="1275"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101.37</w:t>
            </w:r>
          </w:p>
        </w:tc>
        <w:tc>
          <w:tcPr>
            <w:tcW w:w="1276"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3123.89</w:t>
            </w:r>
          </w:p>
        </w:tc>
        <w:tc>
          <w:tcPr>
            <w:tcW w:w="1418"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3.11</w:t>
            </w:r>
          </w:p>
        </w:tc>
        <w:tc>
          <w:tcPr>
            <w:tcW w:w="1417" w:type="dxa"/>
            <w:gridSpan w:val="2"/>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1678.24</w:t>
            </w:r>
          </w:p>
        </w:tc>
        <w:tc>
          <w:tcPr>
            <w:tcW w:w="1246" w:type="dxa"/>
            <w:gridSpan w:val="2"/>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8.70</w:t>
            </w:r>
          </w:p>
        </w:tc>
      </w:tr>
      <w:tr w:rsidR="00485FDF" w:rsidRPr="001C5C91" w:rsidTr="00485FDF">
        <w:trPr>
          <w:trHeight w:val="281"/>
        </w:trPr>
        <w:tc>
          <w:tcPr>
            <w:tcW w:w="2552"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Short-term Debt</w:t>
            </w:r>
          </w:p>
        </w:tc>
        <w:tc>
          <w:tcPr>
            <w:tcW w:w="1276"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551.04</w:t>
            </w:r>
          </w:p>
        </w:tc>
        <w:tc>
          <w:tcPr>
            <w:tcW w:w="1275"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100.98</w:t>
            </w:r>
          </w:p>
        </w:tc>
        <w:tc>
          <w:tcPr>
            <w:tcW w:w="1276"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1670.49</w:t>
            </w:r>
          </w:p>
        </w:tc>
        <w:tc>
          <w:tcPr>
            <w:tcW w:w="1418"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7.24</w:t>
            </w:r>
          </w:p>
        </w:tc>
        <w:tc>
          <w:tcPr>
            <w:tcW w:w="1417" w:type="dxa"/>
            <w:gridSpan w:val="2"/>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1219.25</w:t>
            </w:r>
          </w:p>
        </w:tc>
        <w:tc>
          <w:tcPr>
            <w:tcW w:w="1246" w:type="dxa"/>
            <w:gridSpan w:val="2"/>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7.94</w:t>
            </w:r>
          </w:p>
        </w:tc>
      </w:tr>
      <w:tr w:rsidR="00485FDF" w:rsidRPr="001C5C91" w:rsidTr="00485FDF">
        <w:trPr>
          <w:trHeight w:val="281"/>
        </w:trPr>
        <w:tc>
          <w:tcPr>
            <w:tcW w:w="2552"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Book value of assets</w:t>
            </w:r>
          </w:p>
        </w:tc>
        <w:tc>
          <w:tcPr>
            <w:tcW w:w="1276"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3990.85</w:t>
            </w:r>
          </w:p>
        </w:tc>
        <w:tc>
          <w:tcPr>
            <w:tcW w:w="1275"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779.53</w:t>
            </w:r>
          </w:p>
        </w:tc>
        <w:tc>
          <w:tcPr>
            <w:tcW w:w="1276"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16122.77</w:t>
            </w:r>
          </w:p>
        </w:tc>
        <w:tc>
          <w:tcPr>
            <w:tcW w:w="1418"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152.50</w:t>
            </w:r>
          </w:p>
        </w:tc>
        <w:tc>
          <w:tcPr>
            <w:tcW w:w="1417" w:type="dxa"/>
            <w:gridSpan w:val="2"/>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13928.77</w:t>
            </w:r>
          </w:p>
        </w:tc>
        <w:tc>
          <w:tcPr>
            <w:tcW w:w="1246" w:type="dxa"/>
            <w:gridSpan w:val="2"/>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13.33</w:t>
            </w:r>
          </w:p>
        </w:tc>
      </w:tr>
      <w:tr w:rsidR="00485FDF" w:rsidRPr="001C5C91" w:rsidTr="00485FDF">
        <w:trPr>
          <w:trHeight w:val="281"/>
        </w:trPr>
        <w:tc>
          <w:tcPr>
            <w:tcW w:w="2552"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Book value of equity</w:t>
            </w:r>
          </w:p>
        </w:tc>
        <w:tc>
          <w:tcPr>
            <w:tcW w:w="1276"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1537.46</w:t>
            </w:r>
          </w:p>
        </w:tc>
        <w:tc>
          <w:tcPr>
            <w:tcW w:w="1275"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349.09</w:t>
            </w:r>
          </w:p>
        </w:tc>
        <w:tc>
          <w:tcPr>
            <w:tcW w:w="1276"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7792.18</w:t>
            </w:r>
          </w:p>
        </w:tc>
        <w:tc>
          <w:tcPr>
            <w:tcW w:w="1418"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73.13</w:t>
            </w:r>
          </w:p>
        </w:tc>
        <w:tc>
          <w:tcPr>
            <w:tcW w:w="1417" w:type="dxa"/>
            <w:gridSpan w:val="2"/>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2571.56</w:t>
            </w:r>
          </w:p>
        </w:tc>
        <w:tc>
          <w:tcPr>
            <w:tcW w:w="1246" w:type="dxa"/>
            <w:gridSpan w:val="2"/>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18.09</w:t>
            </w:r>
          </w:p>
        </w:tc>
      </w:tr>
      <w:tr w:rsidR="00485FDF" w:rsidRPr="001C5C91" w:rsidTr="00485FDF">
        <w:trPr>
          <w:trHeight w:val="281"/>
        </w:trPr>
        <w:tc>
          <w:tcPr>
            <w:tcW w:w="2552"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Capital Expenditure</w:t>
            </w:r>
          </w:p>
        </w:tc>
        <w:tc>
          <w:tcPr>
            <w:tcW w:w="1276" w:type="dxa"/>
            <w:tcBorders>
              <w:top w:val="nil"/>
              <w:left w:val="nil"/>
              <w:bottom w:val="nil"/>
              <w:right w:val="nil"/>
            </w:tcBorders>
            <w:shd w:val="clear" w:color="auto" w:fill="auto"/>
            <w:noWrap/>
            <w:hideMark/>
          </w:tcPr>
          <w:p w:rsidR="00485FDF" w:rsidRPr="00F17E03" w:rsidRDefault="00485FDF" w:rsidP="00485FDF">
            <w:pPr>
              <w:rPr>
                <w:sz w:val="20"/>
                <w:szCs w:val="20"/>
              </w:rPr>
            </w:pPr>
            <w:r>
              <w:rPr>
                <w:sz w:val="20"/>
                <w:szCs w:val="20"/>
              </w:rPr>
              <w:t>261.33</w:t>
            </w:r>
          </w:p>
        </w:tc>
        <w:tc>
          <w:tcPr>
            <w:tcW w:w="1275" w:type="dxa"/>
            <w:tcBorders>
              <w:top w:val="nil"/>
              <w:left w:val="nil"/>
              <w:bottom w:val="nil"/>
              <w:right w:val="nil"/>
            </w:tcBorders>
            <w:shd w:val="clear" w:color="auto" w:fill="auto"/>
            <w:noWrap/>
            <w:hideMark/>
          </w:tcPr>
          <w:p w:rsidR="00485FDF" w:rsidRPr="00F17E03" w:rsidRDefault="00485FDF" w:rsidP="00485FDF">
            <w:pPr>
              <w:rPr>
                <w:sz w:val="20"/>
                <w:szCs w:val="20"/>
              </w:rPr>
            </w:pPr>
            <w:r>
              <w:rPr>
                <w:sz w:val="20"/>
                <w:szCs w:val="20"/>
              </w:rPr>
              <w:t>26.1</w:t>
            </w:r>
          </w:p>
        </w:tc>
        <w:tc>
          <w:tcPr>
            <w:tcW w:w="1276" w:type="dxa"/>
            <w:tcBorders>
              <w:top w:val="nil"/>
              <w:left w:val="nil"/>
              <w:bottom w:val="nil"/>
              <w:right w:val="nil"/>
            </w:tcBorders>
            <w:shd w:val="clear" w:color="auto" w:fill="auto"/>
            <w:noWrap/>
            <w:hideMark/>
          </w:tcPr>
          <w:p w:rsidR="00485FDF" w:rsidRPr="00F17E03" w:rsidRDefault="00485FDF" w:rsidP="00485FDF">
            <w:pPr>
              <w:rPr>
                <w:sz w:val="20"/>
                <w:szCs w:val="20"/>
              </w:rPr>
            </w:pPr>
            <w:r>
              <w:rPr>
                <w:sz w:val="20"/>
                <w:szCs w:val="20"/>
              </w:rPr>
              <w:t>1718.56</w:t>
            </w:r>
          </w:p>
        </w:tc>
        <w:tc>
          <w:tcPr>
            <w:tcW w:w="1418" w:type="dxa"/>
            <w:tcBorders>
              <w:top w:val="nil"/>
              <w:left w:val="nil"/>
              <w:bottom w:val="nil"/>
              <w:right w:val="nil"/>
            </w:tcBorders>
            <w:shd w:val="clear" w:color="auto" w:fill="auto"/>
            <w:noWrap/>
            <w:hideMark/>
          </w:tcPr>
          <w:p w:rsidR="00485FDF" w:rsidRPr="00F17E03" w:rsidRDefault="00485FDF" w:rsidP="00485FDF">
            <w:pPr>
              <w:rPr>
                <w:sz w:val="20"/>
                <w:szCs w:val="20"/>
              </w:rPr>
            </w:pPr>
            <w:r>
              <w:rPr>
                <w:sz w:val="20"/>
                <w:szCs w:val="20"/>
              </w:rPr>
              <w:t>1.82</w:t>
            </w:r>
          </w:p>
        </w:tc>
        <w:tc>
          <w:tcPr>
            <w:tcW w:w="1417" w:type="dxa"/>
            <w:gridSpan w:val="2"/>
            <w:tcBorders>
              <w:top w:val="nil"/>
              <w:left w:val="nil"/>
              <w:bottom w:val="nil"/>
              <w:right w:val="nil"/>
            </w:tcBorders>
            <w:shd w:val="clear" w:color="auto" w:fill="auto"/>
            <w:noWrap/>
            <w:hideMark/>
          </w:tcPr>
          <w:p w:rsidR="00485FDF" w:rsidRPr="00F17E03" w:rsidRDefault="00485FDF" w:rsidP="00485FDF">
            <w:pPr>
              <w:rPr>
                <w:sz w:val="20"/>
                <w:szCs w:val="20"/>
              </w:rPr>
            </w:pPr>
            <w:r>
              <w:rPr>
                <w:sz w:val="20"/>
                <w:szCs w:val="20"/>
              </w:rPr>
              <w:t>351.95</w:t>
            </w:r>
          </w:p>
        </w:tc>
        <w:tc>
          <w:tcPr>
            <w:tcW w:w="1246" w:type="dxa"/>
            <w:gridSpan w:val="2"/>
            <w:tcBorders>
              <w:top w:val="nil"/>
              <w:left w:val="nil"/>
              <w:bottom w:val="nil"/>
              <w:right w:val="nil"/>
            </w:tcBorders>
            <w:shd w:val="clear" w:color="auto" w:fill="auto"/>
            <w:noWrap/>
            <w:hideMark/>
          </w:tcPr>
          <w:p w:rsidR="00485FDF" w:rsidRPr="00F17E03" w:rsidRDefault="00485FDF" w:rsidP="00485FDF">
            <w:pPr>
              <w:rPr>
                <w:sz w:val="20"/>
                <w:szCs w:val="20"/>
              </w:rPr>
            </w:pPr>
            <w:r>
              <w:rPr>
                <w:sz w:val="20"/>
                <w:szCs w:val="20"/>
              </w:rPr>
              <w:t>19.3</w:t>
            </w:r>
          </w:p>
        </w:tc>
      </w:tr>
      <w:tr w:rsidR="00485FDF" w:rsidRPr="001C5C91" w:rsidTr="00485FDF">
        <w:trPr>
          <w:trHeight w:val="281"/>
        </w:trPr>
        <w:tc>
          <w:tcPr>
            <w:tcW w:w="2552"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Enterprise Value</w:t>
            </w:r>
          </w:p>
        </w:tc>
        <w:tc>
          <w:tcPr>
            <w:tcW w:w="1276"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2636.60</w:t>
            </w:r>
          </w:p>
        </w:tc>
        <w:tc>
          <w:tcPr>
            <w:tcW w:w="1275"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699.00</w:t>
            </w:r>
          </w:p>
        </w:tc>
        <w:tc>
          <w:tcPr>
            <w:tcW w:w="1276"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13196.79</w:t>
            </w:r>
          </w:p>
        </w:tc>
        <w:tc>
          <w:tcPr>
            <w:tcW w:w="1418" w:type="dxa"/>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189.00</w:t>
            </w:r>
          </w:p>
        </w:tc>
        <w:tc>
          <w:tcPr>
            <w:tcW w:w="1417" w:type="dxa"/>
            <w:gridSpan w:val="2"/>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4560.00</w:t>
            </w:r>
          </w:p>
        </w:tc>
        <w:tc>
          <w:tcPr>
            <w:tcW w:w="1246" w:type="dxa"/>
            <w:gridSpan w:val="2"/>
            <w:tcBorders>
              <w:top w:val="nil"/>
              <w:left w:val="nil"/>
              <w:bottom w:val="nil"/>
              <w:right w:val="nil"/>
            </w:tcBorders>
            <w:shd w:val="clear" w:color="auto" w:fill="auto"/>
            <w:noWrap/>
            <w:hideMark/>
          </w:tcPr>
          <w:p w:rsidR="00485FDF" w:rsidRPr="00F17E03" w:rsidRDefault="00485FDF" w:rsidP="00485FDF">
            <w:pPr>
              <w:rPr>
                <w:sz w:val="20"/>
                <w:szCs w:val="20"/>
              </w:rPr>
            </w:pPr>
            <w:r w:rsidRPr="00F17E03">
              <w:rPr>
                <w:sz w:val="20"/>
                <w:szCs w:val="20"/>
              </w:rPr>
              <w:t>25.47</w:t>
            </w:r>
          </w:p>
        </w:tc>
      </w:tr>
      <w:tr w:rsidR="00485FDF" w:rsidRPr="001C5C91" w:rsidTr="00485FDF">
        <w:trPr>
          <w:trHeight w:val="281"/>
        </w:trPr>
        <w:tc>
          <w:tcPr>
            <w:tcW w:w="2552" w:type="dxa"/>
            <w:tcBorders>
              <w:top w:val="nil"/>
              <w:left w:val="nil"/>
              <w:right w:val="nil"/>
            </w:tcBorders>
            <w:shd w:val="clear" w:color="auto" w:fill="auto"/>
            <w:noWrap/>
            <w:hideMark/>
          </w:tcPr>
          <w:p w:rsidR="00485FDF" w:rsidRPr="00F17E03" w:rsidRDefault="00485FDF" w:rsidP="00485FDF">
            <w:pPr>
              <w:rPr>
                <w:sz w:val="20"/>
                <w:szCs w:val="20"/>
              </w:rPr>
            </w:pPr>
            <w:r w:rsidRPr="00F17E03">
              <w:rPr>
                <w:sz w:val="20"/>
                <w:szCs w:val="20"/>
              </w:rPr>
              <w:t>Increased investment</w:t>
            </w:r>
          </w:p>
        </w:tc>
        <w:tc>
          <w:tcPr>
            <w:tcW w:w="1276" w:type="dxa"/>
            <w:tcBorders>
              <w:top w:val="nil"/>
              <w:left w:val="nil"/>
              <w:right w:val="nil"/>
            </w:tcBorders>
            <w:shd w:val="clear" w:color="auto" w:fill="auto"/>
            <w:noWrap/>
            <w:hideMark/>
          </w:tcPr>
          <w:p w:rsidR="00485FDF" w:rsidRPr="00F17E03" w:rsidRDefault="00485FDF" w:rsidP="00485FDF">
            <w:pPr>
              <w:rPr>
                <w:sz w:val="20"/>
                <w:szCs w:val="20"/>
              </w:rPr>
            </w:pPr>
            <w:r w:rsidRPr="00F17E03">
              <w:rPr>
                <w:sz w:val="20"/>
                <w:szCs w:val="20"/>
              </w:rPr>
              <w:t>186.42</w:t>
            </w:r>
          </w:p>
        </w:tc>
        <w:tc>
          <w:tcPr>
            <w:tcW w:w="1275" w:type="dxa"/>
            <w:tcBorders>
              <w:top w:val="nil"/>
              <w:left w:val="nil"/>
              <w:right w:val="nil"/>
            </w:tcBorders>
            <w:shd w:val="clear" w:color="auto" w:fill="auto"/>
            <w:noWrap/>
            <w:hideMark/>
          </w:tcPr>
          <w:p w:rsidR="00485FDF" w:rsidRPr="00F17E03" w:rsidRDefault="00485FDF" w:rsidP="00485FDF">
            <w:pPr>
              <w:rPr>
                <w:sz w:val="20"/>
                <w:szCs w:val="20"/>
              </w:rPr>
            </w:pPr>
            <w:r w:rsidRPr="00F17E03">
              <w:rPr>
                <w:sz w:val="20"/>
                <w:szCs w:val="20"/>
              </w:rPr>
              <w:t>15.00</w:t>
            </w:r>
          </w:p>
        </w:tc>
        <w:tc>
          <w:tcPr>
            <w:tcW w:w="1276" w:type="dxa"/>
            <w:tcBorders>
              <w:top w:val="nil"/>
              <w:left w:val="nil"/>
              <w:right w:val="nil"/>
            </w:tcBorders>
            <w:shd w:val="clear" w:color="auto" w:fill="auto"/>
            <w:noWrap/>
            <w:hideMark/>
          </w:tcPr>
          <w:p w:rsidR="00485FDF" w:rsidRPr="00F17E03" w:rsidRDefault="00485FDF" w:rsidP="00485FDF">
            <w:pPr>
              <w:rPr>
                <w:sz w:val="20"/>
                <w:szCs w:val="20"/>
              </w:rPr>
            </w:pPr>
            <w:r w:rsidRPr="00F17E03">
              <w:rPr>
                <w:sz w:val="20"/>
                <w:szCs w:val="20"/>
              </w:rPr>
              <w:t>991.35</w:t>
            </w:r>
          </w:p>
        </w:tc>
        <w:tc>
          <w:tcPr>
            <w:tcW w:w="1418" w:type="dxa"/>
            <w:tcBorders>
              <w:top w:val="nil"/>
              <w:left w:val="nil"/>
              <w:right w:val="nil"/>
            </w:tcBorders>
            <w:shd w:val="clear" w:color="auto" w:fill="auto"/>
            <w:noWrap/>
            <w:hideMark/>
          </w:tcPr>
          <w:p w:rsidR="00485FDF" w:rsidRPr="00F17E03" w:rsidRDefault="00485FDF" w:rsidP="00485FDF">
            <w:pPr>
              <w:rPr>
                <w:sz w:val="20"/>
                <w:szCs w:val="20"/>
              </w:rPr>
            </w:pPr>
            <w:r w:rsidRPr="00F17E03">
              <w:rPr>
                <w:sz w:val="20"/>
                <w:szCs w:val="20"/>
              </w:rPr>
              <w:t>0</w:t>
            </w:r>
          </w:p>
        </w:tc>
        <w:tc>
          <w:tcPr>
            <w:tcW w:w="1417" w:type="dxa"/>
            <w:gridSpan w:val="2"/>
            <w:tcBorders>
              <w:top w:val="nil"/>
              <w:left w:val="nil"/>
              <w:right w:val="nil"/>
            </w:tcBorders>
            <w:shd w:val="clear" w:color="auto" w:fill="auto"/>
            <w:noWrap/>
            <w:hideMark/>
          </w:tcPr>
          <w:p w:rsidR="00485FDF" w:rsidRPr="00F17E03" w:rsidRDefault="00485FDF" w:rsidP="00485FDF">
            <w:pPr>
              <w:rPr>
                <w:sz w:val="20"/>
                <w:szCs w:val="20"/>
              </w:rPr>
            </w:pPr>
            <w:r w:rsidRPr="00F17E03">
              <w:rPr>
                <w:sz w:val="20"/>
                <w:szCs w:val="20"/>
              </w:rPr>
              <w:t>344.00</w:t>
            </w:r>
          </w:p>
        </w:tc>
        <w:tc>
          <w:tcPr>
            <w:tcW w:w="1246" w:type="dxa"/>
            <w:gridSpan w:val="2"/>
            <w:tcBorders>
              <w:top w:val="nil"/>
              <w:left w:val="nil"/>
              <w:right w:val="nil"/>
            </w:tcBorders>
            <w:shd w:val="clear" w:color="auto" w:fill="auto"/>
            <w:noWrap/>
            <w:hideMark/>
          </w:tcPr>
          <w:p w:rsidR="00485FDF" w:rsidRPr="00F17E03" w:rsidRDefault="00485FDF" w:rsidP="00485FDF">
            <w:pPr>
              <w:rPr>
                <w:sz w:val="20"/>
                <w:szCs w:val="20"/>
              </w:rPr>
            </w:pPr>
            <w:r w:rsidRPr="00F17E03">
              <w:rPr>
                <w:sz w:val="20"/>
                <w:szCs w:val="20"/>
              </w:rPr>
              <w:t>24.22</w:t>
            </w:r>
          </w:p>
        </w:tc>
      </w:tr>
      <w:tr w:rsidR="00485FDF" w:rsidRPr="001C5C91" w:rsidTr="00485FDF">
        <w:trPr>
          <w:trHeight w:val="281"/>
        </w:trPr>
        <w:tc>
          <w:tcPr>
            <w:tcW w:w="2552" w:type="dxa"/>
            <w:tcBorders>
              <w:top w:val="nil"/>
              <w:left w:val="nil"/>
              <w:bottom w:val="single" w:sz="4" w:space="0" w:color="auto"/>
              <w:right w:val="nil"/>
            </w:tcBorders>
            <w:shd w:val="clear" w:color="auto" w:fill="auto"/>
            <w:noWrap/>
            <w:hideMark/>
          </w:tcPr>
          <w:p w:rsidR="00485FDF" w:rsidRPr="00F17E03" w:rsidRDefault="00485FDF" w:rsidP="00485FDF">
            <w:pPr>
              <w:rPr>
                <w:sz w:val="20"/>
                <w:szCs w:val="20"/>
              </w:rPr>
            </w:pPr>
            <w:r w:rsidRPr="00F17E03">
              <w:rPr>
                <w:sz w:val="20"/>
                <w:szCs w:val="20"/>
              </w:rPr>
              <w:t>Market capitalization</w:t>
            </w:r>
          </w:p>
        </w:tc>
        <w:tc>
          <w:tcPr>
            <w:tcW w:w="1276" w:type="dxa"/>
            <w:tcBorders>
              <w:top w:val="nil"/>
              <w:left w:val="nil"/>
              <w:bottom w:val="single" w:sz="4" w:space="0" w:color="auto"/>
              <w:right w:val="nil"/>
            </w:tcBorders>
            <w:shd w:val="clear" w:color="auto" w:fill="auto"/>
            <w:noWrap/>
            <w:hideMark/>
          </w:tcPr>
          <w:p w:rsidR="00485FDF" w:rsidRPr="00F17E03" w:rsidRDefault="00485FDF" w:rsidP="00485FDF">
            <w:pPr>
              <w:rPr>
                <w:sz w:val="20"/>
                <w:szCs w:val="20"/>
              </w:rPr>
            </w:pPr>
            <w:r w:rsidRPr="00F17E03">
              <w:rPr>
                <w:sz w:val="20"/>
                <w:szCs w:val="20"/>
              </w:rPr>
              <w:t>2158.98</w:t>
            </w:r>
          </w:p>
        </w:tc>
        <w:tc>
          <w:tcPr>
            <w:tcW w:w="1275" w:type="dxa"/>
            <w:tcBorders>
              <w:top w:val="nil"/>
              <w:left w:val="nil"/>
              <w:bottom w:val="single" w:sz="4" w:space="0" w:color="auto"/>
              <w:right w:val="nil"/>
            </w:tcBorders>
            <w:shd w:val="clear" w:color="auto" w:fill="auto"/>
            <w:noWrap/>
            <w:hideMark/>
          </w:tcPr>
          <w:p w:rsidR="00485FDF" w:rsidRPr="00F17E03" w:rsidRDefault="00485FDF" w:rsidP="00485FDF">
            <w:pPr>
              <w:rPr>
                <w:sz w:val="20"/>
                <w:szCs w:val="20"/>
              </w:rPr>
            </w:pPr>
            <w:r w:rsidRPr="00F17E03">
              <w:rPr>
                <w:sz w:val="20"/>
                <w:szCs w:val="20"/>
              </w:rPr>
              <w:t>634.84</w:t>
            </w:r>
          </w:p>
        </w:tc>
        <w:tc>
          <w:tcPr>
            <w:tcW w:w="1276" w:type="dxa"/>
            <w:tcBorders>
              <w:top w:val="nil"/>
              <w:left w:val="nil"/>
              <w:bottom w:val="single" w:sz="4" w:space="0" w:color="auto"/>
              <w:right w:val="nil"/>
            </w:tcBorders>
            <w:shd w:val="clear" w:color="auto" w:fill="auto"/>
            <w:noWrap/>
            <w:hideMark/>
          </w:tcPr>
          <w:p w:rsidR="00485FDF" w:rsidRPr="00F17E03" w:rsidRDefault="00485FDF" w:rsidP="00485FDF">
            <w:pPr>
              <w:rPr>
                <w:sz w:val="20"/>
                <w:szCs w:val="20"/>
              </w:rPr>
            </w:pPr>
            <w:r w:rsidRPr="00F17E03">
              <w:rPr>
                <w:sz w:val="20"/>
                <w:szCs w:val="20"/>
              </w:rPr>
              <w:t>11767.26</w:t>
            </w:r>
          </w:p>
        </w:tc>
        <w:tc>
          <w:tcPr>
            <w:tcW w:w="1418" w:type="dxa"/>
            <w:tcBorders>
              <w:top w:val="nil"/>
              <w:left w:val="nil"/>
              <w:bottom w:val="single" w:sz="4" w:space="0" w:color="auto"/>
              <w:right w:val="nil"/>
            </w:tcBorders>
            <w:shd w:val="clear" w:color="auto" w:fill="auto"/>
            <w:noWrap/>
            <w:hideMark/>
          </w:tcPr>
          <w:p w:rsidR="00485FDF" w:rsidRPr="00F17E03" w:rsidRDefault="00485FDF" w:rsidP="00485FDF">
            <w:pPr>
              <w:rPr>
                <w:sz w:val="20"/>
                <w:szCs w:val="20"/>
              </w:rPr>
            </w:pPr>
            <w:r w:rsidRPr="00F17E03">
              <w:rPr>
                <w:sz w:val="20"/>
                <w:szCs w:val="20"/>
              </w:rPr>
              <w:t>164.83</w:t>
            </w:r>
          </w:p>
        </w:tc>
        <w:tc>
          <w:tcPr>
            <w:tcW w:w="1417" w:type="dxa"/>
            <w:gridSpan w:val="2"/>
            <w:tcBorders>
              <w:top w:val="nil"/>
              <w:left w:val="nil"/>
              <w:bottom w:val="single" w:sz="4" w:space="0" w:color="auto"/>
              <w:right w:val="nil"/>
            </w:tcBorders>
            <w:shd w:val="clear" w:color="auto" w:fill="auto"/>
            <w:noWrap/>
            <w:hideMark/>
          </w:tcPr>
          <w:p w:rsidR="00485FDF" w:rsidRPr="00F17E03" w:rsidRDefault="00485FDF" w:rsidP="00485FDF">
            <w:pPr>
              <w:rPr>
                <w:sz w:val="20"/>
                <w:szCs w:val="20"/>
              </w:rPr>
            </w:pPr>
            <w:r w:rsidRPr="00F17E03">
              <w:rPr>
                <w:sz w:val="20"/>
                <w:szCs w:val="20"/>
              </w:rPr>
              <w:t>3704.70</w:t>
            </w:r>
          </w:p>
        </w:tc>
        <w:tc>
          <w:tcPr>
            <w:tcW w:w="1246" w:type="dxa"/>
            <w:gridSpan w:val="2"/>
            <w:tcBorders>
              <w:top w:val="nil"/>
              <w:left w:val="nil"/>
              <w:bottom w:val="single" w:sz="4" w:space="0" w:color="auto"/>
              <w:right w:val="nil"/>
            </w:tcBorders>
            <w:shd w:val="clear" w:color="auto" w:fill="auto"/>
            <w:noWrap/>
            <w:hideMark/>
          </w:tcPr>
          <w:p w:rsidR="00485FDF" w:rsidRPr="00F17E03" w:rsidRDefault="00485FDF" w:rsidP="00485FDF">
            <w:pPr>
              <w:rPr>
                <w:sz w:val="20"/>
                <w:szCs w:val="20"/>
              </w:rPr>
            </w:pPr>
            <w:r w:rsidRPr="00F17E03">
              <w:rPr>
                <w:sz w:val="20"/>
                <w:szCs w:val="20"/>
              </w:rPr>
              <w:t>31.36</w:t>
            </w:r>
          </w:p>
        </w:tc>
      </w:tr>
    </w:tbl>
    <w:p w:rsidR="00B73F9B" w:rsidRPr="0078218B" w:rsidRDefault="0078218B">
      <w:pPr>
        <w:rPr>
          <w:sz w:val="20"/>
          <w:szCs w:val="20"/>
        </w:rPr>
      </w:pPr>
      <w:r w:rsidRPr="0078218B">
        <w:rPr>
          <w:sz w:val="20"/>
          <w:szCs w:val="20"/>
        </w:rPr>
        <w:t>Notes: In millions of US</w:t>
      </w:r>
      <w:r w:rsidR="006A0BC6">
        <w:rPr>
          <w:sz w:val="20"/>
          <w:szCs w:val="20"/>
        </w:rPr>
        <w:t xml:space="preserve"> dollar</w:t>
      </w:r>
      <w:r w:rsidRPr="0078218B">
        <w:rPr>
          <w:sz w:val="20"/>
          <w:szCs w:val="20"/>
        </w:rPr>
        <w:t>, otherwise indicated above. The firm chara</w:t>
      </w:r>
      <w:r>
        <w:rPr>
          <w:sz w:val="20"/>
          <w:szCs w:val="20"/>
        </w:rPr>
        <w:t>c</w:t>
      </w:r>
      <w:r w:rsidRPr="0078218B">
        <w:rPr>
          <w:sz w:val="20"/>
          <w:szCs w:val="20"/>
        </w:rPr>
        <w:t>teristics</w:t>
      </w:r>
      <w:r>
        <w:rPr>
          <w:sz w:val="20"/>
          <w:szCs w:val="20"/>
        </w:rPr>
        <w:t xml:space="preserve"> are presented in </w:t>
      </w:r>
      <w:r w:rsidR="006A0BC6">
        <w:rPr>
          <w:sz w:val="20"/>
          <w:szCs w:val="20"/>
        </w:rPr>
        <w:t xml:space="preserve">dollar value in summary statistics here. However, the corresponding variable in regression might be adjusted for firm size. See </w:t>
      </w:r>
      <w:r w:rsidR="006A0BC6" w:rsidRPr="00F83111">
        <w:rPr>
          <w:sz w:val="20"/>
          <w:szCs w:val="20"/>
        </w:rPr>
        <w:t>Appendix</w:t>
      </w:r>
      <w:r w:rsidR="006A0BC6">
        <w:rPr>
          <w:sz w:val="20"/>
          <w:szCs w:val="20"/>
        </w:rPr>
        <w:t xml:space="preserve"> A for details.</w:t>
      </w:r>
    </w:p>
    <w:p w:rsidR="00B73F9B" w:rsidRDefault="00B73F9B"/>
    <w:tbl>
      <w:tblPr>
        <w:tblpPr w:leftFromText="180" w:rightFromText="180" w:vertAnchor="text" w:horzAnchor="margin" w:tblpY="199"/>
        <w:tblW w:w="10465" w:type="dxa"/>
        <w:tblLayout w:type="fixed"/>
        <w:tblLook w:val="04A0" w:firstRow="1" w:lastRow="0" w:firstColumn="1" w:lastColumn="0" w:noHBand="0" w:noVBand="1"/>
      </w:tblPr>
      <w:tblGrid>
        <w:gridCol w:w="2327"/>
        <w:gridCol w:w="225"/>
        <w:gridCol w:w="866"/>
        <w:gridCol w:w="1040"/>
        <w:gridCol w:w="1068"/>
        <w:gridCol w:w="1011"/>
        <w:gridCol w:w="1041"/>
        <w:gridCol w:w="1040"/>
        <w:gridCol w:w="891"/>
        <w:gridCol w:w="956"/>
      </w:tblGrid>
      <w:tr w:rsidR="00967C4C" w:rsidRPr="00784D00" w:rsidTr="00967C4C">
        <w:trPr>
          <w:trHeight w:val="292"/>
        </w:trPr>
        <w:tc>
          <w:tcPr>
            <w:tcW w:w="2552" w:type="dxa"/>
            <w:gridSpan w:val="2"/>
            <w:tcBorders>
              <w:top w:val="nil"/>
              <w:left w:val="nil"/>
              <w:bottom w:val="nil"/>
              <w:right w:val="nil"/>
            </w:tcBorders>
            <w:shd w:val="clear" w:color="auto" w:fill="auto"/>
            <w:noWrap/>
            <w:vAlign w:val="bottom"/>
            <w:hideMark/>
          </w:tcPr>
          <w:p w:rsidR="00967C4C" w:rsidRPr="00784D00" w:rsidRDefault="00967C4C" w:rsidP="00967C4C">
            <w:pPr>
              <w:rPr>
                <w:sz w:val="20"/>
                <w:szCs w:val="20"/>
              </w:rPr>
            </w:pPr>
            <w:bookmarkStart w:id="36" w:name="OLE_LINK72"/>
            <w:bookmarkStart w:id="37" w:name="OLE_LINK73"/>
            <w:bookmarkStart w:id="38" w:name="OLE_LINK74"/>
            <w:r w:rsidRPr="00784D00">
              <w:rPr>
                <w:sz w:val="20"/>
                <w:szCs w:val="20"/>
              </w:rPr>
              <w:t>Panel B. Correlation</w:t>
            </w:r>
            <w:r>
              <w:rPr>
                <w:sz w:val="20"/>
                <w:szCs w:val="20"/>
              </w:rPr>
              <w:t xml:space="preserve"> </w:t>
            </w:r>
            <w:r w:rsidRPr="00784D00">
              <w:rPr>
                <w:sz w:val="20"/>
                <w:szCs w:val="20"/>
              </w:rPr>
              <w:t>Matrix</w:t>
            </w:r>
          </w:p>
        </w:tc>
        <w:tc>
          <w:tcPr>
            <w:tcW w:w="866" w:type="dxa"/>
            <w:tcBorders>
              <w:top w:val="nil"/>
              <w:left w:val="nil"/>
              <w:bottom w:val="nil"/>
              <w:right w:val="nil"/>
            </w:tcBorders>
            <w:shd w:val="clear" w:color="auto" w:fill="auto"/>
            <w:noWrap/>
            <w:vAlign w:val="bottom"/>
            <w:hideMark/>
          </w:tcPr>
          <w:p w:rsidR="00967C4C" w:rsidRPr="00784D00" w:rsidRDefault="00967C4C" w:rsidP="00967C4C">
            <w:pPr>
              <w:rPr>
                <w:sz w:val="20"/>
                <w:szCs w:val="20"/>
              </w:rPr>
            </w:pPr>
          </w:p>
        </w:tc>
        <w:tc>
          <w:tcPr>
            <w:tcW w:w="1040"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1068"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101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104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1040"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89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956"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r>
      <w:tr w:rsidR="00967C4C" w:rsidRPr="00784D00" w:rsidTr="00967C4C">
        <w:trPr>
          <w:trHeight w:val="292"/>
        </w:trPr>
        <w:tc>
          <w:tcPr>
            <w:tcW w:w="2327" w:type="dxa"/>
            <w:tcBorders>
              <w:top w:val="single" w:sz="8" w:space="0" w:color="000000"/>
              <w:left w:val="nil"/>
              <w:bottom w:val="single" w:sz="8" w:space="0" w:color="000000"/>
              <w:right w:val="nil"/>
            </w:tcBorders>
            <w:shd w:val="clear" w:color="auto" w:fill="auto"/>
            <w:noWrap/>
            <w:vAlign w:val="bottom"/>
            <w:hideMark/>
          </w:tcPr>
          <w:p w:rsidR="00967C4C" w:rsidRPr="00784D00" w:rsidRDefault="00967C4C" w:rsidP="00967C4C">
            <w:pPr>
              <w:rPr>
                <w:sz w:val="20"/>
                <w:szCs w:val="20"/>
              </w:rPr>
            </w:pPr>
            <w:r w:rsidRPr="00784D00">
              <w:rPr>
                <w:sz w:val="20"/>
                <w:szCs w:val="20"/>
              </w:rPr>
              <w:t> </w:t>
            </w:r>
          </w:p>
        </w:tc>
        <w:tc>
          <w:tcPr>
            <w:tcW w:w="1091" w:type="dxa"/>
            <w:gridSpan w:val="2"/>
            <w:tcBorders>
              <w:top w:val="single" w:sz="8" w:space="0" w:color="000000"/>
              <w:left w:val="nil"/>
              <w:bottom w:val="single" w:sz="8" w:space="0" w:color="000000"/>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(1)</w:t>
            </w:r>
          </w:p>
        </w:tc>
        <w:tc>
          <w:tcPr>
            <w:tcW w:w="1040" w:type="dxa"/>
            <w:tcBorders>
              <w:top w:val="single" w:sz="8" w:space="0" w:color="000000"/>
              <w:left w:val="nil"/>
              <w:bottom w:val="single" w:sz="8" w:space="0" w:color="000000"/>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(2)</w:t>
            </w:r>
          </w:p>
        </w:tc>
        <w:tc>
          <w:tcPr>
            <w:tcW w:w="1068" w:type="dxa"/>
            <w:tcBorders>
              <w:top w:val="single" w:sz="8" w:space="0" w:color="000000"/>
              <w:left w:val="nil"/>
              <w:bottom w:val="single" w:sz="8" w:space="0" w:color="000000"/>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(3)</w:t>
            </w:r>
          </w:p>
        </w:tc>
        <w:tc>
          <w:tcPr>
            <w:tcW w:w="1011" w:type="dxa"/>
            <w:tcBorders>
              <w:top w:val="single" w:sz="8" w:space="0" w:color="000000"/>
              <w:left w:val="nil"/>
              <w:bottom w:val="single" w:sz="8" w:space="0" w:color="000000"/>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(4)</w:t>
            </w:r>
          </w:p>
        </w:tc>
        <w:tc>
          <w:tcPr>
            <w:tcW w:w="1041" w:type="dxa"/>
            <w:tcBorders>
              <w:top w:val="single" w:sz="8" w:space="0" w:color="000000"/>
              <w:left w:val="nil"/>
              <w:bottom w:val="single" w:sz="8" w:space="0" w:color="000000"/>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(5)</w:t>
            </w:r>
          </w:p>
        </w:tc>
        <w:tc>
          <w:tcPr>
            <w:tcW w:w="1040" w:type="dxa"/>
            <w:tcBorders>
              <w:top w:val="single" w:sz="8" w:space="0" w:color="000000"/>
              <w:left w:val="nil"/>
              <w:bottom w:val="single" w:sz="8" w:space="0" w:color="000000"/>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(6)</w:t>
            </w:r>
          </w:p>
        </w:tc>
        <w:tc>
          <w:tcPr>
            <w:tcW w:w="891" w:type="dxa"/>
            <w:tcBorders>
              <w:top w:val="single" w:sz="8" w:space="0" w:color="000000"/>
              <w:left w:val="nil"/>
              <w:bottom w:val="single" w:sz="8" w:space="0" w:color="000000"/>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(7)</w:t>
            </w:r>
          </w:p>
        </w:tc>
        <w:tc>
          <w:tcPr>
            <w:tcW w:w="956" w:type="dxa"/>
            <w:tcBorders>
              <w:top w:val="single" w:sz="8" w:space="0" w:color="000000"/>
              <w:left w:val="nil"/>
              <w:bottom w:val="single" w:sz="8" w:space="0" w:color="000000"/>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(8)</w:t>
            </w:r>
          </w:p>
        </w:tc>
      </w:tr>
      <w:tr w:rsidR="00967C4C" w:rsidRPr="00784D00" w:rsidTr="00967C4C">
        <w:trPr>
          <w:trHeight w:val="292"/>
        </w:trPr>
        <w:tc>
          <w:tcPr>
            <w:tcW w:w="2327" w:type="dxa"/>
            <w:tcBorders>
              <w:top w:val="nil"/>
              <w:left w:val="nil"/>
              <w:bottom w:val="nil"/>
              <w:right w:val="nil"/>
            </w:tcBorders>
            <w:shd w:val="clear" w:color="auto" w:fill="auto"/>
            <w:noWrap/>
            <w:vAlign w:val="bottom"/>
            <w:hideMark/>
          </w:tcPr>
          <w:p w:rsidR="00967C4C" w:rsidRPr="00784D00" w:rsidRDefault="00967C4C" w:rsidP="00967C4C">
            <w:pPr>
              <w:rPr>
                <w:sz w:val="20"/>
                <w:szCs w:val="20"/>
              </w:rPr>
            </w:pPr>
            <w:r>
              <w:rPr>
                <w:sz w:val="20"/>
                <w:szCs w:val="20"/>
              </w:rPr>
              <w:t>Leverage</w:t>
            </w:r>
            <w:r w:rsidRPr="00784D00">
              <w:rPr>
                <w:sz w:val="20"/>
                <w:szCs w:val="20"/>
              </w:rPr>
              <w:t xml:space="preserve"> (1)</w:t>
            </w:r>
          </w:p>
        </w:tc>
        <w:tc>
          <w:tcPr>
            <w:tcW w:w="1091" w:type="dxa"/>
            <w:gridSpan w:val="2"/>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1</w:t>
            </w:r>
          </w:p>
        </w:tc>
        <w:tc>
          <w:tcPr>
            <w:tcW w:w="1040"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1068"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101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104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1040"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89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956"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r>
      <w:tr w:rsidR="00967C4C" w:rsidRPr="00784D00" w:rsidTr="00967C4C">
        <w:trPr>
          <w:trHeight w:val="292"/>
        </w:trPr>
        <w:tc>
          <w:tcPr>
            <w:tcW w:w="2327" w:type="dxa"/>
            <w:tcBorders>
              <w:top w:val="nil"/>
              <w:left w:val="nil"/>
              <w:bottom w:val="nil"/>
              <w:right w:val="nil"/>
            </w:tcBorders>
            <w:shd w:val="clear" w:color="auto" w:fill="auto"/>
            <w:noWrap/>
            <w:vAlign w:val="bottom"/>
            <w:hideMark/>
          </w:tcPr>
          <w:p w:rsidR="00967C4C" w:rsidRPr="00784D00" w:rsidRDefault="00967C4C" w:rsidP="00967C4C">
            <w:pPr>
              <w:rPr>
                <w:sz w:val="20"/>
                <w:szCs w:val="20"/>
              </w:rPr>
            </w:pPr>
            <w:r w:rsidRPr="00784D00">
              <w:rPr>
                <w:sz w:val="20"/>
                <w:szCs w:val="20"/>
              </w:rPr>
              <w:t>Book value of assets (2)</w:t>
            </w:r>
          </w:p>
        </w:tc>
        <w:tc>
          <w:tcPr>
            <w:tcW w:w="1091" w:type="dxa"/>
            <w:gridSpan w:val="2"/>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0.0102</w:t>
            </w:r>
          </w:p>
        </w:tc>
        <w:tc>
          <w:tcPr>
            <w:tcW w:w="1040"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1</w:t>
            </w:r>
          </w:p>
        </w:tc>
        <w:tc>
          <w:tcPr>
            <w:tcW w:w="1068"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101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104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1040"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89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956"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r>
      <w:tr w:rsidR="00967C4C" w:rsidRPr="00784D00" w:rsidTr="00967C4C">
        <w:trPr>
          <w:trHeight w:val="292"/>
        </w:trPr>
        <w:tc>
          <w:tcPr>
            <w:tcW w:w="2327" w:type="dxa"/>
            <w:tcBorders>
              <w:top w:val="nil"/>
              <w:left w:val="nil"/>
              <w:bottom w:val="nil"/>
              <w:right w:val="nil"/>
            </w:tcBorders>
            <w:shd w:val="clear" w:color="auto" w:fill="auto"/>
            <w:noWrap/>
            <w:vAlign w:val="bottom"/>
            <w:hideMark/>
          </w:tcPr>
          <w:p w:rsidR="00967C4C" w:rsidRPr="00784D00" w:rsidRDefault="00967C4C" w:rsidP="00967C4C">
            <w:pPr>
              <w:rPr>
                <w:sz w:val="20"/>
                <w:szCs w:val="20"/>
              </w:rPr>
            </w:pPr>
            <w:r w:rsidRPr="00784D00">
              <w:rPr>
                <w:sz w:val="20"/>
                <w:szCs w:val="20"/>
              </w:rPr>
              <w:t>Book value of equity (3)</w:t>
            </w:r>
          </w:p>
        </w:tc>
        <w:tc>
          <w:tcPr>
            <w:tcW w:w="1091" w:type="dxa"/>
            <w:gridSpan w:val="2"/>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-0.0043</w:t>
            </w:r>
          </w:p>
        </w:tc>
        <w:tc>
          <w:tcPr>
            <w:tcW w:w="1040"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0.9402*</w:t>
            </w:r>
          </w:p>
        </w:tc>
        <w:tc>
          <w:tcPr>
            <w:tcW w:w="1068"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1</w:t>
            </w:r>
          </w:p>
        </w:tc>
        <w:tc>
          <w:tcPr>
            <w:tcW w:w="101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104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1040"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89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956"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r>
      <w:tr w:rsidR="00967C4C" w:rsidRPr="00784D00" w:rsidTr="00967C4C">
        <w:trPr>
          <w:trHeight w:val="292"/>
        </w:trPr>
        <w:tc>
          <w:tcPr>
            <w:tcW w:w="2327" w:type="dxa"/>
            <w:tcBorders>
              <w:top w:val="nil"/>
              <w:left w:val="nil"/>
              <w:bottom w:val="nil"/>
              <w:right w:val="nil"/>
            </w:tcBorders>
            <w:shd w:val="clear" w:color="auto" w:fill="auto"/>
            <w:noWrap/>
            <w:vAlign w:val="bottom"/>
            <w:hideMark/>
          </w:tcPr>
          <w:p w:rsidR="00967C4C" w:rsidRPr="00784D00" w:rsidRDefault="00967C4C" w:rsidP="00967C4C">
            <w:pPr>
              <w:rPr>
                <w:sz w:val="20"/>
                <w:szCs w:val="20"/>
              </w:rPr>
            </w:pPr>
            <w:r w:rsidRPr="00784D00">
              <w:rPr>
                <w:sz w:val="20"/>
                <w:szCs w:val="20"/>
              </w:rPr>
              <w:t>Capital Expenditure (4)</w:t>
            </w:r>
          </w:p>
        </w:tc>
        <w:tc>
          <w:tcPr>
            <w:tcW w:w="1091" w:type="dxa"/>
            <w:gridSpan w:val="2"/>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-0.0248*</w:t>
            </w:r>
          </w:p>
        </w:tc>
        <w:tc>
          <w:tcPr>
            <w:tcW w:w="1040"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0.0528*</w:t>
            </w:r>
          </w:p>
        </w:tc>
        <w:tc>
          <w:tcPr>
            <w:tcW w:w="1068"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0.0728*</w:t>
            </w:r>
          </w:p>
        </w:tc>
        <w:tc>
          <w:tcPr>
            <w:tcW w:w="101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1</w:t>
            </w:r>
          </w:p>
        </w:tc>
        <w:tc>
          <w:tcPr>
            <w:tcW w:w="104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1040"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89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956"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r>
      <w:tr w:rsidR="00967C4C" w:rsidRPr="00784D00" w:rsidTr="00967C4C">
        <w:trPr>
          <w:trHeight w:val="292"/>
        </w:trPr>
        <w:tc>
          <w:tcPr>
            <w:tcW w:w="2327" w:type="dxa"/>
            <w:tcBorders>
              <w:top w:val="nil"/>
              <w:left w:val="nil"/>
              <w:bottom w:val="nil"/>
              <w:right w:val="nil"/>
            </w:tcBorders>
            <w:shd w:val="clear" w:color="auto" w:fill="auto"/>
            <w:noWrap/>
            <w:vAlign w:val="bottom"/>
            <w:hideMark/>
          </w:tcPr>
          <w:p w:rsidR="00967C4C" w:rsidRPr="00784D00" w:rsidRDefault="00967C4C" w:rsidP="00967C4C">
            <w:pPr>
              <w:rPr>
                <w:sz w:val="20"/>
                <w:szCs w:val="20"/>
              </w:rPr>
            </w:pPr>
            <w:r w:rsidRPr="00784D00">
              <w:rPr>
                <w:sz w:val="20"/>
                <w:szCs w:val="20"/>
              </w:rPr>
              <w:t>Enterprise Value (5)</w:t>
            </w:r>
          </w:p>
        </w:tc>
        <w:tc>
          <w:tcPr>
            <w:tcW w:w="1091" w:type="dxa"/>
            <w:gridSpan w:val="2"/>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-0.0021</w:t>
            </w:r>
          </w:p>
        </w:tc>
        <w:tc>
          <w:tcPr>
            <w:tcW w:w="1040"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0.8114*</w:t>
            </w:r>
          </w:p>
        </w:tc>
        <w:tc>
          <w:tcPr>
            <w:tcW w:w="1068"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0.8697*</w:t>
            </w:r>
          </w:p>
        </w:tc>
        <w:tc>
          <w:tcPr>
            <w:tcW w:w="101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0.8654*</w:t>
            </w:r>
          </w:p>
        </w:tc>
        <w:tc>
          <w:tcPr>
            <w:tcW w:w="104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1</w:t>
            </w:r>
          </w:p>
        </w:tc>
        <w:tc>
          <w:tcPr>
            <w:tcW w:w="1040"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89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956"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r>
      <w:tr w:rsidR="00967C4C" w:rsidRPr="00784D00" w:rsidTr="00967C4C">
        <w:trPr>
          <w:trHeight w:val="292"/>
        </w:trPr>
        <w:tc>
          <w:tcPr>
            <w:tcW w:w="2327" w:type="dxa"/>
            <w:tcBorders>
              <w:top w:val="nil"/>
              <w:left w:val="nil"/>
              <w:bottom w:val="nil"/>
              <w:right w:val="nil"/>
            </w:tcBorders>
            <w:shd w:val="clear" w:color="auto" w:fill="auto"/>
            <w:noWrap/>
            <w:vAlign w:val="bottom"/>
            <w:hideMark/>
          </w:tcPr>
          <w:p w:rsidR="00967C4C" w:rsidRPr="00784D00" w:rsidRDefault="00967C4C" w:rsidP="00967C4C">
            <w:pPr>
              <w:rPr>
                <w:sz w:val="20"/>
                <w:szCs w:val="20"/>
              </w:rPr>
            </w:pPr>
            <w:r w:rsidRPr="00784D00">
              <w:rPr>
                <w:sz w:val="20"/>
                <w:szCs w:val="20"/>
              </w:rPr>
              <w:t>Increased investment (6)</w:t>
            </w:r>
          </w:p>
        </w:tc>
        <w:tc>
          <w:tcPr>
            <w:tcW w:w="1091" w:type="dxa"/>
            <w:gridSpan w:val="2"/>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0.0113</w:t>
            </w:r>
          </w:p>
        </w:tc>
        <w:tc>
          <w:tcPr>
            <w:tcW w:w="1040"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0.3361*</w:t>
            </w:r>
          </w:p>
        </w:tc>
        <w:tc>
          <w:tcPr>
            <w:tcW w:w="1068"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0.2982*</w:t>
            </w:r>
          </w:p>
        </w:tc>
        <w:tc>
          <w:tcPr>
            <w:tcW w:w="101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0.1782*</w:t>
            </w:r>
          </w:p>
        </w:tc>
        <w:tc>
          <w:tcPr>
            <w:tcW w:w="104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0.2252*</w:t>
            </w:r>
          </w:p>
        </w:tc>
        <w:tc>
          <w:tcPr>
            <w:tcW w:w="1040"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1</w:t>
            </w:r>
          </w:p>
        </w:tc>
        <w:tc>
          <w:tcPr>
            <w:tcW w:w="891"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c>
          <w:tcPr>
            <w:tcW w:w="956" w:type="dxa"/>
            <w:tcBorders>
              <w:top w:val="nil"/>
              <w:left w:val="nil"/>
              <w:bottom w:val="nil"/>
              <w:right w:val="nil"/>
            </w:tcBorders>
            <w:shd w:val="clear" w:color="auto" w:fill="auto"/>
            <w:noWrap/>
            <w:vAlign w:val="bottom"/>
            <w:hideMark/>
          </w:tcPr>
          <w:p w:rsidR="00967C4C" w:rsidRPr="00784D00" w:rsidRDefault="00967C4C" w:rsidP="00967C4C">
            <w:pPr>
              <w:jc w:val="center"/>
              <w:rPr>
                <w:sz w:val="20"/>
                <w:szCs w:val="20"/>
              </w:rPr>
            </w:pPr>
          </w:p>
        </w:tc>
      </w:tr>
      <w:tr w:rsidR="00967C4C" w:rsidRPr="00784D00" w:rsidTr="00967C4C">
        <w:trPr>
          <w:trHeight w:val="292"/>
        </w:trPr>
        <w:tc>
          <w:tcPr>
            <w:tcW w:w="2327" w:type="dxa"/>
            <w:tcBorders>
              <w:top w:val="nil"/>
              <w:left w:val="nil"/>
              <w:right w:val="nil"/>
            </w:tcBorders>
            <w:shd w:val="clear" w:color="auto" w:fill="auto"/>
            <w:noWrap/>
            <w:vAlign w:val="bottom"/>
            <w:hideMark/>
          </w:tcPr>
          <w:p w:rsidR="00967C4C" w:rsidRPr="00784D00" w:rsidRDefault="00967C4C" w:rsidP="00967C4C">
            <w:pPr>
              <w:rPr>
                <w:sz w:val="20"/>
                <w:szCs w:val="20"/>
              </w:rPr>
            </w:pPr>
            <w:r w:rsidRPr="00784D00">
              <w:rPr>
                <w:sz w:val="20"/>
                <w:szCs w:val="20"/>
              </w:rPr>
              <w:t>Market capitalization (7)</w:t>
            </w:r>
          </w:p>
        </w:tc>
        <w:tc>
          <w:tcPr>
            <w:tcW w:w="1091" w:type="dxa"/>
            <w:gridSpan w:val="2"/>
            <w:tcBorders>
              <w:top w:val="nil"/>
              <w:left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-0.0071</w:t>
            </w:r>
          </w:p>
        </w:tc>
        <w:tc>
          <w:tcPr>
            <w:tcW w:w="1040" w:type="dxa"/>
            <w:tcBorders>
              <w:top w:val="nil"/>
              <w:left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0.7260*</w:t>
            </w:r>
          </w:p>
        </w:tc>
        <w:tc>
          <w:tcPr>
            <w:tcW w:w="1068" w:type="dxa"/>
            <w:tcBorders>
              <w:top w:val="nil"/>
              <w:left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0.8105*</w:t>
            </w:r>
          </w:p>
        </w:tc>
        <w:tc>
          <w:tcPr>
            <w:tcW w:w="1011" w:type="dxa"/>
            <w:tcBorders>
              <w:top w:val="nil"/>
              <w:left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0.7997*</w:t>
            </w:r>
          </w:p>
        </w:tc>
        <w:tc>
          <w:tcPr>
            <w:tcW w:w="1041" w:type="dxa"/>
            <w:tcBorders>
              <w:top w:val="nil"/>
              <w:left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0.9813*</w:t>
            </w:r>
          </w:p>
        </w:tc>
        <w:tc>
          <w:tcPr>
            <w:tcW w:w="1040" w:type="dxa"/>
            <w:tcBorders>
              <w:top w:val="nil"/>
              <w:left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0.2199*</w:t>
            </w:r>
          </w:p>
        </w:tc>
        <w:tc>
          <w:tcPr>
            <w:tcW w:w="891" w:type="dxa"/>
            <w:tcBorders>
              <w:top w:val="nil"/>
              <w:left w:val="nil"/>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1</w:t>
            </w:r>
          </w:p>
        </w:tc>
        <w:tc>
          <w:tcPr>
            <w:tcW w:w="956" w:type="dxa"/>
            <w:tcBorders>
              <w:top w:val="nil"/>
              <w:left w:val="nil"/>
              <w:right w:val="nil"/>
            </w:tcBorders>
            <w:shd w:val="clear" w:color="auto" w:fill="auto"/>
            <w:noWrap/>
            <w:vAlign w:val="bottom"/>
            <w:hideMark/>
          </w:tcPr>
          <w:p w:rsidR="00967C4C" w:rsidRPr="00784D00" w:rsidRDefault="00967C4C" w:rsidP="00967C4C">
            <w:pPr>
              <w:jc w:val="center"/>
              <w:rPr>
                <w:sz w:val="20"/>
                <w:szCs w:val="20"/>
              </w:rPr>
            </w:pPr>
          </w:p>
        </w:tc>
      </w:tr>
      <w:tr w:rsidR="00967C4C" w:rsidRPr="00784D00" w:rsidTr="00967C4C">
        <w:trPr>
          <w:trHeight w:val="292"/>
        </w:trPr>
        <w:tc>
          <w:tcPr>
            <w:tcW w:w="2327" w:type="dxa"/>
            <w:tcBorders>
              <w:top w:val="nil"/>
              <w:left w:val="nil"/>
              <w:bottom w:val="single" w:sz="4" w:space="0" w:color="auto"/>
              <w:right w:val="nil"/>
            </w:tcBorders>
            <w:shd w:val="clear" w:color="auto" w:fill="auto"/>
            <w:noWrap/>
            <w:vAlign w:val="bottom"/>
            <w:hideMark/>
          </w:tcPr>
          <w:p w:rsidR="00967C4C" w:rsidRPr="00784D00" w:rsidRDefault="00967C4C" w:rsidP="00967C4C">
            <w:pPr>
              <w:rPr>
                <w:sz w:val="20"/>
                <w:szCs w:val="20"/>
              </w:rPr>
            </w:pPr>
            <w:r w:rsidRPr="00784D00">
              <w:rPr>
                <w:sz w:val="20"/>
                <w:szCs w:val="20"/>
              </w:rPr>
              <w:t>Profitability (8)</w:t>
            </w:r>
          </w:p>
        </w:tc>
        <w:tc>
          <w:tcPr>
            <w:tcW w:w="1091" w:type="dxa"/>
            <w:gridSpan w:val="2"/>
            <w:tcBorders>
              <w:top w:val="nil"/>
              <w:left w:val="nil"/>
              <w:bottom w:val="single" w:sz="4" w:space="0" w:color="auto"/>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-0.1508*</w:t>
            </w:r>
          </w:p>
        </w:tc>
        <w:tc>
          <w:tcPr>
            <w:tcW w:w="1040" w:type="dxa"/>
            <w:tcBorders>
              <w:top w:val="nil"/>
              <w:left w:val="nil"/>
              <w:bottom w:val="single" w:sz="4" w:space="0" w:color="auto"/>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0.0013</w:t>
            </w:r>
          </w:p>
        </w:tc>
        <w:tc>
          <w:tcPr>
            <w:tcW w:w="1068" w:type="dxa"/>
            <w:tcBorders>
              <w:top w:val="nil"/>
              <w:left w:val="nil"/>
              <w:bottom w:val="single" w:sz="4" w:space="0" w:color="auto"/>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0.0114</w:t>
            </w:r>
          </w:p>
        </w:tc>
        <w:tc>
          <w:tcPr>
            <w:tcW w:w="1011" w:type="dxa"/>
            <w:tcBorders>
              <w:top w:val="nil"/>
              <w:left w:val="nil"/>
              <w:bottom w:val="single" w:sz="4" w:space="0" w:color="auto"/>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0.0349*</w:t>
            </w:r>
          </w:p>
        </w:tc>
        <w:tc>
          <w:tcPr>
            <w:tcW w:w="1041" w:type="dxa"/>
            <w:tcBorders>
              <w:top w:val="nil"/>
              <w:left w:val="nil"/>
              <w:bottom w:val="single" w:sz="4" w:space="0" w:color="auto"/>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0.0056</w:t>
            </w:r>
          </w:p>
        </w:tc>
        <w:tc>
          <w:tcPr>
            <w:tcW w:w="1040" w:type="dxa"/>
            <w:tcBorders>
              <w:top w:val="nil"/>
              <w:left w:val="nil"/>
              <w:bottom w:val="single" w:sz="4" w:space="0" w:color="auto"/>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0.0126</w:t>
            </w:r>
          </w:p>
        </w:tc>
        <w:tc>
          <w:tcPr>
            <w:tcW w:w="891" w:type="dxa"/>
            <w:tcBorders>
              <w:top w:val="nil"/>
              <w:left w:val="nil"/>
              <w:bottom w:val="single" w:sz="4" w:space="0" w:color="auto"/>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0.0056</w:t>
            </w:r>
          </w:p>
        </w:tc>
        <w:tc>
          <w:tcPr>
            <w:tcW w:w="956" w:type="dxa"/>
            <w:tcBorders>
              <w:top w:val="nil"/>
              <w:left w:val="nil"/>
              <w:bottom w:val="single" w:sz="4" w:space="0" w:color="auto"/>
              <w:right w:val="nil"/>
            </w:tcBorders>
            <w:shd w:val="clear" w:color="auto" w:fill="auto"/>
            <w:noWrap/>
            <w:vAlign w:val="bottom"/>
            <w:hideMark/>
          </w:tcPr>
          <w:p w:rsidR="00967C4C" w:rsidRPr="00784D00" w:rsidRDefault="00967C4C" w:rsidP="00967C4C">
            <w:pPr>
              <w:jc w:val="center"/>
              <w:rPr>
                <w:sz w:val="20"/>
                <w:szCs w:val="20"/>
              </w:rPr>
            </w:pPr>
            <w:r w:rsidRPr="00784D00">
              <w:rPr>
                <w:sz w:val="20"/>
                <w:szCs w:val="20"/>
              </w:rPr>
              <w:t>1</w:t>
            </w:r>
          </w:p>
        </w:tc>
      </w:tr>
    </w:tbl>
    <w:p w:rsidR="00967C4C" w:rsidRPr="008F21FD" w:rsidRDefault="00967C4C" w:rsidP="00967C4C">
      <w:pPr>
        <w:spacing w:line="276" w:lineRule="auto"/>
        <w:jc w:val="both"/>
        <w:rPr>
          <w:sz w:val="20"/>
          <w:szCs w:val="20"/>
        </w:rPr>
      </w:pPr>
      <w:bookmarkStart w:id="39" w:name="OLE_LINK75"/>
      <w:bookmarkStart w:id="40" w:name="OLE_LINK76"/>
      <w:bookmarkEnd w:id="37"/>
      <w:bookmarkEnd w:id="38"/>
      <w:r w:rsidRPr="008F21FD">
        <w:rPr>
          <w:sz w:val="20"/>
          <w:szCs w:val="20"/>
        </w:rPr>
        <w:t>* denotes significance level at 1</w:t>
      </w:r>
      <w:r w:rsidR="00705A55">
        <w:rPr>
          <w:sz w:val="20"/>
          <w:szCs w:val="20"/>
        </w:rPr>
        <w:t>0</w:t>
      </w:r>
      <w:r w:rsidRPr="008F21FD">
        <w:rPr>
          <w:sz w:val="20"/>
          <w:szCs w:val="20"/>
        </w:rPr>
        <w:t>%</w:t>
      </w:r>
    </w:p>
    <w:tbl>
      <w:tblPr>
        <w:tblpPr w:leftFromText="180" w:rightFromText="180" w:vertAnchor="text" w:horzAnchor="margin" w:tblpY="454"/>
        <w:tblW w:w="10442" w:type="dxa"/>
        <w:tblLook w:val="04A0" w:firstRow="1" w:lastRow="0" w:firstColumn="1" w:lastColumn="0" w:noHBand="0" w:noVBand="1"/>
      </w:tblPr>
      <w:tblGrid>
        <w:gridCol w:w="2268"/>
        <w:gridCol w:w="851"/>
        <w:gridCol w:w="1039"/>
        <w:gridCol w:w="95"/>
        <w:gridCol w:w="141"/>
        <w:gridCol w:w="851"/>
        <w:gridCol w:w="1134"/>
        <w:gridCol w:w="1559"/>
        <w:gridCol w:w="1437"/>
        <w:gridCol w:w="6"/>
        <w:gridCol w:w="1055"/>
        <w:gridCol w:w="6"/>
      </w:tblGrid>
      <w:tr w:rsidR="00967C4C" w:rsidRPr="003109B4" w:rsidTr="00967C4C">
        <w:trPr>
          <w:trHeight w:val="261"/>
        </w:trPr>
        <w:tc>
          <w:tcPr>
            <w:tcW w:w="4158" w:type="dxa"/>
            <w:gridSpan w:val="3"/>
            <w:tcBorders>
              <w:top w:val="nil"/>
              <w:left w:val="nil"/>
              <w:bottom w:val="nil"/>
              <w:right w:val="nil"/>
            </w:tcBorders>
            <w:shd w:val="clear" w:color="auto" w:fill="auto"/>
            <w:noWrap/>
            <w:vAlign w:val="bottom"/>
            <w:hideMark/>
          </w:tcPr>
          <w:p w:rsidR="00967C4C" w:rsidRPr="003109B4" w:rsidRDefault="00967C4C" w:rsidP="00967C4C">
            <w:pPr>
              <w:rPr>
                <w:sz w:val="20"/>
                <w:szCs w:val="20"/>
              </w:rPr>
            </w:pPr>
            <w:bookmarkStart w:id="41" w:name="OLE_LINK77"/>
            <w:bookmarkStart w:id="42" w:name="OLE_LINK78"/>
            <w:bookmarkEnd w:id="36"/>
            <w:bookmarkEnd w:id="39"/>
            <w:bookmarkEnd w:id="40"/>
            <w:r w:rsidRPr="003109B4">
              <w:rPr>
                <w:sz w:val="20"/>
                <w:szCs w:val="20"/>
              </w:rPr>
              <w:t xml:space="preserve">Panel C. </w:t>
            </w:r>
            <w:r>
              <w:rPr>
                <w:sz w:val="20"/>
                <w:szCs w:val="20"/>
              </w:rPr>
              <w:t>Leverage</w:t>
            </w:r>
            <w:r w:rsidRPr="003109B4">
              <w:rPr>
                <w:sz w:val="20"/>
                <w:szCs w:val="20"/>
              </w:rPr>
              <w:t xml:space="preserve"> by Industry</w:t>
            </w:r>
          </w:p>
        </w:tc>
        <w:tc>
          <w:tcPr>
            <w:tcW w:w="236" w:type="dxa"/>
            <w:gridSpan w:val="2"/>
            <w:tcBorders>
              <w:top w:val="nil"/>
              <w:left w:val="nil"/>
              <w:bottom w:val="nil"/>
              <w:right w:val="nil"/>
            </w:tcBorders>
            <w:shd w:val="clear" w:color="auto" w:fill="auto"/>
            <w:noWrap/>
            <w:vAlign w:val="bottom"/>
            <w:hideMark/>
          </w:tcPr>
          <w:p w:rsidR="00967C4C" w:rsidRPr="003109B4" w:rsidRDefault="00967C4C" w:rsidP="00967C4C">
            <w:pPr>
              <w:rPr>
                <w:sz w:val="20"/>
                <w:szCs w:val="20"/>
              </w:rPr>
            </w:pPr>
          </w:p>
        </w:tc>
        <w:tc>
          <w:tcPr>
            <w:tcW w:w="851"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p>
        </w:tc>
        <w:tc>
          <w:tcPr>
            <w:tcW w:w="1134"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p>
        </w:tc>
        <w:tc>
          <w:tcPr>
            <w:tcW w:w="1559"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p>
        </w:tc>
        <w:tc>
          <w:tcPr>
            <w:tcW w:w="1443"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p>
        </w:tc>
        <w:tc>
          <w:tcPr>
            <w:tcW w:w="1061"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p>
        </w:tc>
      </w:tr>
      <w:tr w:rsidR="00967C4C" w:rsidRPr="003109B4" w:rsidTr="00967C4C">
        <w:trPr>
          <w:gridAfter w:val="1"/>
          <w:wAfter w:w="6" w:type="dxa"/>
          <w:trHeight w:val="261"/>
        </w:trPr>
        <w:tc>
          <w:tcPr>
            <w:tcW w:w="2268" w:type="dxa"/>
            <w:tcBorders>
              <w:top w:val="single" w:sz="8" w:space="0" w:color="000000"/>
              <w:left w:val="nil"/>
              <w:bottom w:val="single" w:sz="8" w:space="0" w:color="000000"/>
              <w:right w:val="nil"/>
            </w:tcBorders>
            <w:shd w:val="clear" w:color="auto" w:fill="auto"/>
            <w:noWrap/>
            <w:vAlign w:val="bottom"/>
            <w:hideMark/>
          </w:tcPr>
          <w:p w:rsidR="00967C4C" w:rsidRPr="003109B4" w:rsidRDefault="00967C4C" w:rsidP="00967C4C">
            <w:pPr>
              <w:rPr>
                <w:sz w:val="20"/>
                <w:szCs w:val="20"/>
              </w:rPr>
            </w:pPr>
            <w:r w:rsidRPr="003109B4">
              <w:rPr>
                <w:sz w:val="20"/>
                <w:szCs w:val="20"/>
              </w:rPr>
              <w:t>Industry</w:t>
            </w:r>
          </w:p>
        </w:tc>
        <w:tc>
          <w:tcPr>
            <w:tcW w:w="851" w:type="dxa"/>
            <w:tcBorders>
              <w:top w:val="single" w:sz="8" w:space="0" w:color="000000"/>
              <w:left w:val="nil"/>
              <w:bottom w:val="single" w:sz="8" w:space="0" w:color="000000"/>
              <w:right w:val="nil"/>
            </w:tcBorders>
            <w:shd w:val="clear" w:color="auto" w:fill="auto"/>
            <w:noWrap/>
            <w:vAlign w:val="bottom"/>
            <w:hideMark/>
          </w:tcPr>
          <w:p w:rsidR="00967C4C" w:rsidRPr="003109B4" w:rsidRDefault="00967C4C" w:rsidP="00967C4C">
            <w:pPr>
              <w:jc w:val="center"/>
              <w:rPr>
                <w:sz w:val="20"/>
                <w:szCs w:val="20"/>
              </w:rPr>
            </w:pPr>
            <w:proofErr w:type="spellStart"/>
            <w:r w:rsidRPr="003109B4">
              <w:rPr>
                <w:sz w:val="20"/>
                <w:szCs w:val="20"/>
              </w:rPr>
              <w:t>Obs</w:t>
            </w:r>
            <w:proofErr w:type="spellEnd"/>
          </w:p>
        </w:tc>
        <w:tc>
          <w:tcPr>
            <w:tcW w:w="1134" w:type="dxa"/>
            <w:gridSpan w:val="2"/>
            <w:tcBorders>
              <w:top w:val="single" w:sz="8" w:space="0" w:color="000000"/>
              <w:left w:val="nil"/>
              <w:bottom w:val="single" w:sz="8" w:space="0" w:color="000000"/>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 xml:space="preserve">Mean    </w:t>
            </w:r>
          </w:p>
        </w:tc>
        <w:tc>
          <w:tcPr>
            <w:tcW w:w="992" w:type="dxa"/>
            <w:gridSpan w:val="2"/>
            <w:tcBorders>
              <w:top w:val="single" w:sz="8" w:space="0" w:color="000000"/>
              <w:left w:val="nil"/>
              <w:bottom w:val="single" w:sz="8" w:space="0" w:color="000000"/>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Median</w:t>
            </w:r>
          </w:p>
        </w:tc>
        <w:tc>
          <w:tcPr>
            <w:tcW w:w="1134" w:type="dxa"/>
            <w:tcBorders>
              <w:top w:val="single" w:sz="8" w:space="0" w:color="000000"/>
              <w:left w:val="nil"/>
              <w:bottom w:val="single" w:sz="8" w:space="0" w:color="000000"/>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Std. Dev</w:t>
            </w:r>
          </w:p>
        </w:tc>
        <w:tc>
          <w:tcPr>
            <w:tcW w:w="1559" w:type="dxa"/>
            <w:tcBorders>
              <w:top w:val="single" w:sz="8" w:space="0" w:color="000000"/>
              <w:left w:val="nil"/>
              <w:bottom w:val="single" w:sz="8" w:space="0" w:color="000000"/>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10th percentile</w:t>
            </w:r>
          </w:p>
        </w:tc>
        <w:tc>
          <w:tcPr>
            <w:tcW w:w="1437" w:type="dxa"/>
            <w:tcBorders>
              <w:top w:val="single" w:sz="8" w:space="0" w:color="000000"/>
              <w:left w:val="nil"/>
              <w:bottom w:val="single" w:sz="8" w:space="0" w:color="000000"/>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90th percentile</w:t>
            </w:r>
          </w:p>
        </w:tc>
        <w:tc>
          <w:tcPr>
            <w:tcW w:w="1061" w:type="dxa"/>
            <w:gridSpan w:val="2"/>
            <w:tcBorders>
              <w:top w:val="single" w:sz="8" w:space="0" w:color="000000"/>
              <w:left w:val="nil"/>
              <w:bottom w:val="single" w:sz="8" w:space="0" w:color="000000"/>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Skewness</w:t>
            </w:r>
          </w:p>
        </w:tc>
      </w:tr>
      <w:tr w:rsidR="00967C4C" w:rsidRPr="003109B4" w:rsidTr="00967C4C">
        <w:trPr>
          <w:gridAfter w:val="1"/>
          <w:wAfter w:w="6" w:type="dxa"/>
          <w:trHeight w:val="261"/>
        </w:trPr>
        <w:tc>
          <w:tcPr>
            <w:tcW w:w="2268" w:type="dxa"/>
            <w:tcBorders>
              <w:top w:val="nil"/>
              <w:left w:val="nil"/>
              <w:bottom w:val="nil"/>
              <w:right w:val="nil"/>
            </w:tcBorders>
            <w:shd w:val="clear" w:color="auto" w:fill="auto"/>
            <w:noWrap/>
            <w:vAlign w:val="bottom"/>
            <w:hideMark/>
          </w:tcPr>
          <w:p w:rsidR="00967C4C" w:rsidRPr="003109B4" w:rsidRDefault="00967C4C" w:rsidP="00967C4C">
            <w:pPr>
              <w:rPr>
                <w:sz w:val="20"/>
                <w:szCs w:val="20"/>
              </w:rPr>
            </w:pPr>
            <w:r w:rsidRPr="003109B4">
              <w:rPr>
                <w:sz w:val="20"/>
                <w:szCs w:val="20"/>
              </w:rPr>
              <w:t>Construction</w:t>
            </w:r>
          </w:p>
        </w:tc>
        <w:tc>
          <w:tcPr>
            <w:tcW w:w="851"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368</w:t>
            </w:r>
          </w:p>
        </w:tc>
        <w:tc>
          <w:tcPr>
            <w:tcW w:w="1134"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74.45</w:t>
            </w:r>
          </w:p>
        </w:tc>
        <w:tc>
          <w:tcPr>
            <w:tcW w:w="992"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76.65</w:t>
            </w:r>
          </w:p>
        </w:tc>
        <w:tc>
          <w:tcPr>
            <w:tcW w:w="1134"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15.44</w:t>
            </w:r>
          </w:p>
        </w:tc>
        <w:tc>
          <w:tcPr>
            <w:tcW w:w="1559"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55.23</w:t>
            </w:r>
          </w:p>
        </w:tc>
        <w:tc>
          <w:tcPr>
            <w:tcW w:w="1437"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88.19</w:t>
            </w:r>
          </w:p>
        </w:tc>
        <w:tc>
          <w:tcPr>
            <w:tcW w:w="1061"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1.24</w:t>
            </w:r>
          </w:p>
        </w:tc>
      </w:tr>
      <w:tr w:rsidR="00967C4C" w:rsidRPr="003109B4" w:rsidTr="00967C4C">
        <w:trPr>
          <w:gridAfter w:val="1"/>
          <w:wAfter w:w="6" w:type="dxa"/>
          <w:trHeight w:val="261"/>
        </w:trPr>
        <w:tc>
          <w:tcPr>
            <w:tcW w:w="2268" w:type="dxa"/>
            <w:tcBorders>
              <w:top w:val="nil"/>
              <w:left w:val="nil"/>
              <w:bottom w:val="nil"/>
              <w:right w:val="nil"/>
            </w:tcBorders>
            <w:shd w:val="clear" w:color="auto" w:fill="auto"/>
            <w:noWrap/>
            <w:vAlign w:val="bottom"/>
            <w:hideMark/>
          </w:tcPr>
          <w:p w:rsidR="00967C4C" w:rsidRPr="003109B4" w:rsidRDefault="00967C4C" w:rsidP="00967C4C">
            <w:pPr>
              <w:rPr>
                <w:sz w:val="20"/>
                <w:szCs w:val="20"/>
              </w:rPr>
            </w:pPr>
            <w:r w:rsidRPr="003109B4">
              <w:rPr>
                <w:sz w:val="20"/>
                <w:szCs w:val="20"/>
              </w:rPr>
              <w:t>Real Estate</w:t>
            </w:r>
          </w:p>
        </w:tc>
        <w:tc>
          <w:tcPr>
            <w:tcW w:w="851"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519</w:t>
            </w:r>
          </w:p>
        </w:tc>
        <w:tc>
          <w:tcPr>
            <w:tcW w:w="1134"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65.71</w:t>
            </w:r>
          </w:p>
        </w:tc>
        <w:tc>
          <w:tcPr>
            <w:tcW w:w="992"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67.78</w:t>
            </w:r>
          </w:p>
        </w:tc>
        <w:tc>
          <w:tcPr>
            <w:tcW w:w="1134"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16.76</w:t>
            </w:r>
          </w:p>
        </w:tc>
        <w:tc>
          <w:tcPr>
            <w:tcW w:w="1559"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42.97</w:t>
            </w:r>
          </w:p>
        </w:tc>
        <w:tc>
          <w:tcPr>
            <w:tcW w:w="1437"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84.5</w:t>
            </w:r>
          </w:p>
        </w:tc>
        <w:tc>
          <w:tcPr>
            <w:tcW w:w="1061"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0.01</w:t>
            </w:r>
          </w:p>
        </w:tc>
      </w:tr>
      <w:tr w:rsidR="00967C4C" w:rsidRPr="003109B4" w:rsidTr="00967C4C">
        <w:trPr>
          <w:gridAfter w:val="1"/>
          <w:wAfter w:w="6" w:type="dxa"/>
          <w:trHeight w:val="261"/>
        </w:trPr>
        <w:tc>
          <w:tcPr>
            <w:tcW w:w="2268" w:type="dxa"/>
            <w:tcBorders>
              <w:top w:val="nil"/>
              <w:left w:val="nil"/>
              <w:bottom w:val="nil"/>
              <w:right w:val="nil"/>
            </w:tcBorders>
            <w:shd w:val="clear" w:color="auto" w:fill="auto"/>
            <w:noWrap/>
            <w:vAlign w:val="bottom"/>
            <w:hideMark/>
          </w:tcPr>
          <w:p w:rsidR="00967C4C" w:rsidRPr="003109B4" w:rsidRDefault="00967C4C" w:rsidP="00967C4C">
            <w:pPr>
              <w:rPr>
                <w:sz w:val="20"/>
                <w:szCs w:val="20"/>
              </w:rPr>
            </w:pPr>
            <w:r w:rsidRPr="003109B4">
              <w:rPr>
                <w:sz w:val="20"/>
                <w:szCs w:val="20"/>
              </w:rPr>
              <w:t>Financial</w:t>
            </w:r>
          </w:p>
        </w:tc>
        <w:tc>
          <w:tcPr>
            <w:tcW w:w="851"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181</w:t>
            </w:r>
          </w:p>
        </w:tc>
        <w:tc>
          <w:tcPr>
            <w:tcW w:w="1134"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62.21</w:t>
            </w:r>
          </w:p>
        </w:tc>
        <w:tc>
          <w:tcPr>
            <w:tcW w:w="992"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66.61</w:t>
            </w:r>
          </w:p>
        </w:tc>
        <w:tc>
          <w:tcPr>
            <w:tcW w:w="1134"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18.81</w:t>
            </w:r>
          </w:p>
        </w:tc>
        <w:tc>
          <w:tcPr>
            <w:tcW w:w="1559"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37.97</w:t>
            </w:r>
          </w:p>
        </w:tc>
        <w:tc>
          <w:tcPr>
            <w:tcW w:w="1437"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82.24</w:t>
            </w:r>
          </w:p>
        </w:tc>
        <w:tc>
          <w:tcPr>
            <w:tcW w:w="1061"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-8</w:t>
            </w:r>
          </w:p>
        </w:tc>
      </w:tr>
      <w:tr w:rsidR="00967C4C" w:rsidRPr="003109B4" w:rsidTr="00967C4C">
        <w:trPr>
          <w:gridAfter w:val="1"/>
          <w:wAfter w:w="6" w:type="dxa"/>
          <w:trHeight w:val="261"/>
        </w:trPr>
        <w:tc>
          <w:tcPr>
            <w:tcW w:w="2268" w:type="dxa"/>
            <w:tcBorders>
              <w:top w:val="nil"/>
              <w:left w:val="nil"/>
              <w:bottom w:val="nil"/>
              <w:right w:val="nil"/>
            </w:tcBorders>
            <w:shd w:val="clear" w:color="auto" w:fill="auto"/>
            <w:noWrap/>
            <w:vAlign w:val="bottom"/>
            <w:hideMark/>
          </w:tcPr>
          <w:p w:rsidR="00967C4C" w:rsidRPr="003109B4" w:rsidRDefault="00967C4C" w:rsidP="00967C4C">
            <w:pPr>
              <w:rPr>
                <w:sz w:val="20"/>
                <w:szCs w:val="20"/>
              </w:rPr>
            </w:pPr>
            <w:r w:rsidRPr="003109B4">
              <w:rPr>
                <w:sz w:val="20"/>
                <w:szCs w:val="20"/>
              </w:rPr>
              <w:t>Utility</w:t>
            </w:r>
          </w:p>
        </w:tc>
        <w:tc>
          <w:tcPr>
            <w:tcW w:w="851"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766</w:t>
            </w:r>
          </w:p>
        </w:tc>
        <w:tc>
          <w:tcPr>
            <w:tcW w:w="1134"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61.36</w:t>
            </w:r>
          </w:p>
        </w:tc>
        <w:tc>
          <w:tcPr>
            <w:tcW w:w="992"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60.47</w:t>
            </w:r>
          </w:p>
        </w:tc>
        <w:tc>
          <w:tcPr>
            <w:tcW w:w="1134"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29.08</w:t>
            </w:r>
          </w:p>
        </w:tc>
        <w:tc>
          <w:tcPr>
            <w:tcW w:w="1559"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35.56</w:t>
            </w:r>
          </w:p>
        </w:tc>
        <w:tc>
          <w:tcPr>
            <w:tcW w:w="1437"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81.79</w:t>
            </w:r>
          </w:p>
        </w:tc>
        <w:tc>
          <w:tcPr>
            <w:tcW w:w="1061"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6.48</w:t>
            </w:r>
          </w:p>
        </w:tc>
      </w:tr>
      <w:tr w:rsidR="00967C4C" w:rsidRPr="003109B4" w:rsidTr="00967C4C">
        <w:trPr>
          <w:gridAfter w:val="1"/>
          <w:wAfter w:w="6" w:type="dxa"/>
          <w:trHeight w:val="261"/>
        </w:trPr>
        <w:tc>
          <w:tcPr>
            <w:tcW w:w="2268" w:type="dxa"/>
            <w:tcBorders>
              <w:top w:val="nil"/>
              <w:left w:val="nil"/>
              <w:bottom w:val="nil"/>
              <w:right w:val="nil"/>
            </w:tcBorders>
            <w:shd w:val="clear" w:color="auto" w:fill="auto"/>
            <w:noWrap/>
            <w:vAlign w:val="bottom"/>
            <w:hideMark/>
          </w:tcPr>
          <w:p w:rsidR="00967C4C" w:rsidRPr="003109B4" w:rsidRDefault="00967C4C" w:rsidP="00967C4C">
            <w:pPr>
              <w:rPr>
                <w:sz w:val="20"/>
                <w:szCs w:val="20"/>
              </w:rPr>
            </w:pPr>
            <w:r w:rsidRPr="003109B4">
              <w:rPr>
                <w:sz w:val="20"/>
                <w:szCs w:val="20"/>
              </w:rPr>
              <w:t>Retail</w:t>
            </w:r>
          </w:p>
        </w:tc>
        <w:tc>
          <w:tcPr>
            <w:tcW w:w="851"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747</w:t>
            </w:r>
          </w:p>
        </w:tc>
        <w:tc>
          <w:tcPr>
            <w:tcW w:w="1134"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57.19</w:t>
            </w:r>
          </w:p>
        </w:tc>
        <w:tc>
          <w:tcPr>
            <w:tcW w:w="992"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59.5</w:t>
            </w:r>
          </w:p>
        </w:tc>
        <w:tc>
          <w:tcPr>
            <w:tcW w:w="1134"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18.97</w:t>
            </w:r>
          </w:p>
        </w:tc>
        <w:tc>
          <w:tcPr>
            <w:tcW w:w="1559"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30.56</w:t>
            </w:r>
          </w:p>
        </w:tc>
        <w:tc>
          <w:tcPr>
            <w:tcW w:w="1437"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82.82</w:t>
            </w:r>
          </w:p>
        </w:tc>
        <w:tc>
          <w:tcPr>
            <w:tcW w:w="1061"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-0.57</w:t>
            </w:r>
          </w:p>
        </w:tc>
      </w:tr>
      <w:tr w:rsidR="00967C4C" w:rsidRPr="003109B4" w:rsidTr="00967C4C">
        <w:trPr>
          <w:gridAfter w:val="1"/>
          <w:wAfter w:w="6" w:type="dxa"/>
          <w:trHeight w:val="261"/>
        </w:trPr>
        <w:tc>
          <w:tcPr>
            <w:tcW w:w="2268" w:type="dxa"/>
            <w:tcBorders>
              <w:top w:val="nil"/>
              <w:left w:val="nil"/>
              <w:bottom w:val="nil"/>
              <w:right w:val="nil"/>
            </w:tcBorders>
            <w:shd w:val="clear" w:color="auto" w:fill="auto"/>
            <w:noWrap/>
            <w:vAlign w:val="bottom"/>
            <w:hideMark/>
          </w:tcPr>
          <w:p w:rsidR="00967C4C" w:rsidRPr="003109B4" w:rsidRDefault="00967C4C" w:rsidP="00967C4C">
            <w:pPr>
              <w:rPr>
                <w:sz w:val="20"/>
                <w:szCs w:val="20"/>
              </w:rPr>
            </w:pPr>
            <w:r w:rsidRPr="003109B4">
              <w:rPr>
                <w:sz w:val="20"/>
                <w:szCs w:val="20"/>
              </w:rPr>
              <w:t>Manufacturing</w:t>
            </w:r>
          </w:p>
        </w:tc>
        <w:tc>
          <w:tcPr>
            <w:tcW w:w="851"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4,502</w:t>
            </w:r>
          </w:p>
        </w:tc>
        <w:tc>
          <w:tcPr>
            <w:tcW w:w="1134"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56.6</w:t>
            </w:r>
          </w:p>
        </w:tc>
        <w:tc>
          <w:tcPr>
            <w:tcW w:w="992"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51.67</w:t>
            </w:r>
          </w:p>
        </w:tc>
        <w:tc>
          <w:tcPr>
            <w:tcW w:w="1134"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187.25</w:t>
            </w:r>
          </w:p>
        </w:tc>
        <w:tc>
          <w:tcPr>
            <w:tcW w:w="1559"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23.34</w:t>
            </w:r>
          </w:p>
        </w:tc>
        <w:tc>
          <w:tcPr>
            <w:tcW w:w="1437"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75.83</w:t>
            </w:r>
          </w:p>
        </w:tc>
        <w:tc>
          <w:tcPr>
            <w:tcW w:w="1061"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41.12</w:t>
            </w:r>
          </w:p>
        </w:tc>
      </w:tr>
      <w:tr w:rsidR="00967C4C" w:rsidRPr="003109B4" w:rsidTr="00967C4C">
        <w:trPr>
          <w:gridAfter w:val="1"/>
          <w:wAfter w:w="6" w:type="dxa"/>
          <w:trHeight w:val="261"/>
        </w:trPr>
        <w:tc>
          <w:tcPr>
            <w:tcW w:w="2268" w:type="dxa"/>
            <w:tcBorders>
              <w:top w:val="nil"/>
              <w:left w:val="nil"/>
              <w:bottom w:val="nil"/>
              <w:right w:val="nil"/>
            </w:tcBorders>
            <w:shd w:val="clear" w:color="auto" w:fill="auto"/>
            <w:noWrap/>
            <w:vAlign w:val="bottom"/>
            <w:hideMark/>
          </w:tcPr>
          <w:p w:rsidR="00967C4C" w:rsidRPr="003109B4" w:rsidRDefault="00967C4C" w:rsidP="00967C4C">
            <w:pPr>
              <w:rPr>
                <w:sz w:val="20"/>
                <w:szCs w:val="20"/>
              </w:rPr>
            </w:pPr>
            <w:r w:rsidRPr="003109B4">
              <w:rPr>
                <w:sz w:val="20"/>
                <w:szCs w:val="20"/>
              </w:rPr>
              <w:t>Scientific research</w:t>
            </w:r>
          </w:p>
        </w:tc>
        <w:tc>
          <w:tcPr>
            <w:tcW w:w="851"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57</w:t>
            </w:r>
          </w:p>
        </w:tc>
        <w:tc>
          <w:tcPr>
            <w:tcW w:w="1134"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52.55</w:t>
            </w:r>
          </w:p>
        </w:tc>
        <w:tc>
          <w:tcPr>
            <w:tcW w:w="992"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50.65</w:t>
            </w:r>
          </w:p>
        </w:tc>
        <w:tc>
          <w:tcPr>
            <w:tcW w:w="1134"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16.35</w:t>
            </w:r>
          </w:p>
        </w:tc>
        <w:tc>
          <w:tcPr>
            <w:tcW w:w="1559"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32.42</w:t>
            </w:r>
          </w:p>
        </w:tc>
        <w:tc>
          <w:tcPr>
            <w:tcW w:w="1437"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75.34</w:t>
            </w:r>
          </w:p>
        </w:tc>
        <w:tc>
          <w:tcPr>
            <w:tcW w:w="1061"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0.06</w:t>
            </w:r>
          </w:p>
        </w:tc>
      </w:tr>
      <w:tr w:rsidR="00967C4C" w:rsidRPr="003109B4" w:rsidTr="00967C4C">
        <w:trPr>
          <w:gridAfter w:val="1"/>
          <w:wAfter w:w="6" w:type="dxa"/>
          <w:trHeight w:val="261"/>
        </w:trPr>
        <w:tc>
          <w:tcPr>
            <w:tcW w:w="2268" w:type="dxa"/>
            <w:tcBorders>
              <w:top w:val="nil"/>
              <w:left w:val="nil"/>
              <w:bottom w:val="nil"/>
              <w:right w:val="nil"/>
            </w:tcBorders>
            <w:shd w:val="clear" w:color="auto" w:fill="auto"/>
            <w:noWrap/>
            <w:vAlign w:val="bottom"/>
            <w:hideMark/>
          </w:tcPr>
          <w:p w:rsidR="00967C4C" w:rsidRPr="003109B4" w:rsidRDefault="00967C4C" w:rsidP="00967C4C">
            <w:pPr>
              <w:rPr>
                <w:sz w:val="20"/>
                <w:szCs w:val="20"/>
              </w:rPr>
            </w:pPr>
            <w:r w:rsidRPr="003109B4">
              <w:rPr>
                <w:sz w:val="20"/>
                <w:szCs w:val="20"/>
              </w:rPr>
              <w:t>Leasing &amp; commercial</w:t>
            </w:r>
          </w:p>
        </w:tc>
        <w:tc>
          <w:tcPr>
            <w:tcW w:w="851"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94</w:t>
            </w:r>
          </w:p>
        </w:tc>
        <w:tc>
          <w:tcPr>
            <w:tcW w:w="1134"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51.51</w:t>
            </w:r>
          </w:p>
        </w:tc>
        <w:tc>
          <w:tcPr>
            <w:tcW w:w="992"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50.97</w:t>
            </w:r>
          </w:p>
        </w:tc>
        <w:tc>
          <w:tcPr>
            <w:tcW w:w="1134"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24.83</w:t>
            </w:r>
          </w:p>
        </w:tc>
        <w:tc>
          <w:tcPr>
            <w:tcW w:w="1559"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22.71</w:t>
            </w:r>
          </w:p>
        </w:tc>
        <w:tc>
          <w:tcPr>
            <w:tcW w:w="1437"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75.72</w:t>
            </w:r>
          </w:p>
        </w:tc>
        <w:tc>
          <w:tcPr>
            <w:tcW w:w="1061"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1.6</w:t>
            </w:r>
          </w:p>
        </w:tc>
      </w:tr>
      <w:tr w:rsidR="00967C4C" w:rsidRPr="003109B4" w:rsidTr="00967C4C">
        <w:trPr>
          <w:gridAfter w:val="1"/>
          <w:wAfter w:w="6" w:type="dxa"/>
          <w:trHeight w:val="261"/>
        </w:trPr>
        <w:tc>
          <w:tcPr>
            <w:tcW w:w="2268" w:type="dxa"/>
            <w:tcBorders>
              <w:top w:val="nil"/>
              <w:left w:val="nil"/>
              <w:bottom w:val="nil"/>
              <w:right w:val="nil"/>
            </w:tcBorders>
            <w:shd w:val="clear" w:color="auto" w:fill="auto"/>
            <w:noWrap/>
            <w:vAlign w:val="bottom"/>
            <w:hideMark/>
          </w:tcPr>
          <w:p w:rsidR="00967C4C" w:rsidRPr="003109B4" w:rsidRDefault="00967C4C" w:rsidP="00967C4C">
            <w:pPr>
              <w:rPr>
                <w:sz w:val="20"/>
                <w:szCs w:val="20"/>
              </w:rPr>
            </w:pPr>
            <w:r w:rsidRPr="003109B4">
              <w:rPr>
                <w:sz w:val="20"/>
                <w:szCs w:val="20"/>
              </w:rPr>
              <w:t>Diversified</w:t>
            </w:r>
          </w:p>
        </w:tc>
        <w:tc>
          <w:tcPr>
            <w:tcW w:w="851"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55</w:t>
            </w:r>
          </w:p>
        </w:tc>
        <w:tc>
          <w:tcPr>
            <w:tcW w:w="1134"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49.52</w:t>
            </w:r>
          </w:p>
        </w:tc>
        <w:tc>
          <w:tcPr>
            <w:tcW w:w="992"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55.52</w:t>
            </w:r>
          </w:p>
        </w:tc>
        <w:tc>
          <w:tcPr>
            <w:tcW w:w="1134"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19.92</w:t>
            </w:r>
          </w:p>
        </w:tc>
        <w:tc>
          <w:tcPr>
            <w:tcW w:w="1559"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20.83</w:t>
            </w:r>
          </w:p>
        </w:tc>
        <w:tc>
          <w:tcPr>
            <w:tcW w:w="1437"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73.82</w:t>
            </w:r>
          </w:p>
        </w:tc>
        <w:tc>
          <w:tcPr>
            <w:tcW w:w="1061"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-0.23</w:t>
            </w:r>
          </w:p>
        </w:tc>
      </w:tr>
      <w:tr w:rsidR="00967C4C" w:rsidRPr="003109B4" w:rsidTr="00967C4C">
        <w:trPr>
          <w:gridAfter w:val="1"/>
          <w:wAfter w:w="6" w:type="dxa"/>
          <w:trHeight w:val="261"/>
        </w:trPr>
        <w:tc>
          <w:tcPr>
            <w:tcW w:w="2268" w:type="dxa"/>
            <w:tcBorders>
              <w:top w:val="nil"/>
              <w:left w:val="nil"/>
              <w:bottom w:val="nil"/>
              <w:right w:val="nil"/>
            </w:tcBorders>
            <w:shd w:val="clear" w:color="auto" w:fill="auto"/>
            <w:noWrap/>
            <w:vAlign w:val="bottom"/>
            <w:hideMark/>
          </w:tcPr>
          <w:p w:rsidR="00967C4C" w:rsidRPr="003109B4" w:rsidRDefault="00967C4C" w:rsidP="00967C4C">
            <w:pPr>
              <w:rPr>
                <w:sz w:val="20"/>
                <w:szCs w:val="20"/>
              </w:rPr>
            </w:pPr>
            <w:r w:rsidRPr="003109B4">
              <w:rPr>
                <w:sz w:val="20"/>
                <w:szCs w:val="20"/>
              </w:rPr>
              <w:t>Mining</w:t>
            </w:r>
          </w:p>
        </w:tc>
        <w:tc>
          <w:tcPr>
            <w:tcW w:w="851"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519</w:t>
            </w:r>
          </w:p>
        </w:tc>
        <w:tc>
          <w:tcPr>
            <w:tcW w:w="1134"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46.79</w:t>
            </w:r>
          </w:p>
        </w:tc>
        <w:tc>
          <w:tcPr>
            <w:tcW w:w="992"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49.33</w:t>
            </w:r>
          </w:p>
        </w:tc>
        <w:tc>
          <w:tcPr>
            <w:tcW w:w="1134"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17.82</w:t>
            </w:r>
          </w:p>
        </w:tc>
        <w:tc>
          <w:tcPr>
            <w:tcW w:w="1559"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20.48</w:t>
            </w:r>
          </w:p>
        </w:tc>
        <w:tc>
          <w:tcPr>
            <w:tcW w:w="1437"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67.91</w:t>
            </w:r>
          </w:p>
        </w:tc>
        <w:tc>
          <w:tcPr>
            <w:tcW w:w="1061"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-0.11</w:t>
            </w:r>
          </w:p>
        </w:tc>
      </w:tr>
      <w:tr w:rsidR="00967C4C" w:rsidRPr="003109B4" w:rsidTr="00967C4C">
        <w:trPr>
          <w:gridAfter w:val="1"/>
          <w:wAfter w:w="6" w:type="dxa"/>
          <w:trHeight w:val="261"/>
        </w:trPr>
        <w:tc>
          <w:tcPr>
            <w:tcW w:w="2268" w:type="dxa"/>
            <w:tcBorders>
              <w:top w:val="nil"/>
              <w:left w:val="nil"/>
              <w:bottom w:val="nil"/>
              <w:right w:val="nil"/>
            </w:tcBorders>
            <w:shd w:val="clear" w:color="auto" w:fill="auto"/>
            <w:noWrap/>
            <w:vAlign w:val="bottom"/>
            <w:hideMark/>
          </w:tcPr>
          <w:p w:rsidR="00967C4C" w:rsidRPr="003109B4" w:rsidRDefault="00967C4C" w:rsidP="00967C4C">
            <w:pPr>
              <w:rPr>
                <w:sz w:val="20"/>
                <w:szCs w:val="20"/>
              </w:rPr>
            </w:pPr>
            <w:r w:rsidRPr="003109B4">
              <w:rPr>
                <w:sz w:val="20"/>
                <w:szCs w:val="20"/>
              </w:rPr>
              <w:t>Agriculture</w:t>
            </w:r>
          </w:p>
        </w:tc>
        <w:tc>
          <w:tcPr>
            <w:tcW w:w="851"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132</w:t>
            </w:r>
          </w:p>
        </w:tc>
        <w:tc>
          <w:tcPr>
            <w:tcW w:w="1134"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45.48</w:t>
            </w:r>
          </w:p>
        </w:tc>
        <w:tc>
          <w:tcPr>
            <w:tcW w:w="992"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41</w:t>
            </w:r>
          </w:p>
        </w:tc>
        <w:tc>
          <w:tcPr>
            <w:tcW w:w="1134"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18.68</w:t>
            </w:r>
          </w:p>
        </w:tc>
        <w:tc>
          <w:tcPr>
            <w:tcW w:w="1559"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23.85</w:t>
            </w:r>
          </w:p>
        </w:tc>
        <w:tc>
          <w:tcPr>
            <w:tcW w:w="1437"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69.39</w:t>
            </w:r>
          </w:p>
        </w:tc>
        <w:tc>
          <w:tcPr>
            <w:tcW w:w="1061"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0.2</w:t>
            </w:r>
          </w:p>
        </w:tc>
      </w:tr>
      <w:tr w:rsidR="00967C4C" w:rsidRPr="003109B4" w:rsidTr="00967C4C">
        <w:trPr>
          <w:gridAfter w:val="1"/>
          <w:wAfter w:w="6" w:type="dxa"/>
          <w:trHeight w:val="261"/>
        </w:trPr>
        <w:tc>
          <w:tcPr>
            <w:tcW w:w="2268" w:type="dxa"/>
            <w:tcBorders>
              <w:top w:val="nil"/>
              <w:left w:val="nil"/>
              <w:bottom w:val="nil"/>
              <w:right w:val="nil"/>
            </w:tcBorders>
            <w:shd w:val="clear" w:color="auto" w:fill="auto"/>
            <w:noWrap/>
            <w:vAlign w:val="bottom"/>
            <w:hideMark/>
          </w:tcPr>
          <w:p w:rsidR="00967C4C" w:rsidRPr="003109B4" w:rsidRDefault="00967C4C" w:rsidP="00967C4C">
            <w:pPr>
              <w:rPr>
                <w:sz w:val="20"/>
                <w:szCs w:val="20"/>
              </w:rPr>
            </w:pPr>
            <w:r w:rsidRPr="003109B4">
              <w:rPr>
                <w:sz w:val="20"/>
                <w:szCs w:val="20"/>
              </w:rPr>
              <w:t>Transport</w:t>
            </w:r>
          </w:p>
        </w:tc>
        <w:tc>
          <w:tcPr>
            <w:tcW w:w="851"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664</w:t>
            </w:r>
          </w:p>
        </w:tc>
        <w:tc>
          <w:tcPr>
            <w:tcW w:w="1134"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45.27</w:t>
            </w:r>
          </w:p>
        </w:tc>
        <w:tc>
          <w:tcPr>
            <w:tcW w:w="992"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43.77</w:t>
            </w:r>
          </w:p>
        </w:tc>
        <w:tc>
          <w:tcPr>
            <w:tcW w:w="1134"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19.94</w:t>
            </w:r>
          </w:p>
        </w:tc>
        <w:tc>
          <w:tcPr>
            <w:tcW w:w="1559"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18.83</w:t>
            </w:r>
          </w:p>
        </w:tc>
        <w:tc>
          <w:tcPr>
            <w:tcW w:w="1437"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72.57</w:t>
            </w:r>
          </w:p>
        </w:tc>
        <w:tc>
          <w:tcPr>
            <w:tcW w:w="1061"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0.2</w:t>
            </w:r>
          </w:p>
        </w:tc>
      </w:tr>
      <w:tr w:rsidR="00967C4C" w:rsidRPr="003109B4" w:rsidTr="00967C4C">
        <w:trPr>
          <w:gridAfter w:val="1"/>
          <w:wAfter w:w="6" w:type="dxa"/>
          <w:trHeight w:val="261"/>
        </w:trPr>
        <w:tc>
          <w:tcPr>
            <w:tcW w:w="2268" w:type="dxa"/>
            <w:tcBorders>
              <w:top w:val="nil"/>
              <w:left w:val="nil"/>
              <w:bottom w:val="nil"/>
              <w:right w:val="nil"/>
            </w:tcBorders>
            <w:shd w:val="clear" w:color="auto" w:fill="auto"/>
            <w:noWrap/>
            <w:vAlign w:val="bottom"/>
            <w:hideMark/>
          </w:tcPr>
          <w:p w:rsidR="00967C4C" w:rsidRPr="003109B4" w:rsidRDefault="00967C4C" w:rsidP="00967C4C">
            <w:pPr>
              <w:rPr>
                <w:sz w:val="20"/>
                <w:szCs w:val="20"/>
              </w:rPr>
            </w:pPr>
            <w:r w:rsidRPr="003109B4">
              <w:rPr>
                <w:sz w:val="20"/>
                <w:szCs w:val="20"/>
              </w:rPr>
              <w:t>Environment</w:t>
            </w:r>
          </w:p>
        </w:tc>
        <w:tc>
          <w:tcPr>
            <w:tcW w:w="851"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105</w:t>
            </w:r>
          </w:p>
        </w:tc>
        <w:tc>
          <w:tcPr>
            <w:tcW w:w="1134"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42.96</w:t>
            </w:r>
          </w:p>
        </w:tc>
        <w:tc>
          <w:tcPr>
            <w:tcW w:w="992"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40.57</w:t>
            </w:r>
          </w:p>
        </w:tc>
        <w:tc>
          <w:tcPr>
            <w:tcW w:w="1134"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21.78</w:t>
            </w:r>
          </w:p>
        </w:tc>
        <w:tc>
          <w:tcPr>
            <w:tcW w:w="1559"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15.49</w:t>
            </w:r>
          </w:p>
        </w:tc>
        <w:tc>
          <w:tcPr>
            <w:tcW w:w="1437"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70.19</w:t>
            </w:r>
          </w:p>
        </w:tc>
        <w:tc>
          <w:tcPr>
            <w:tcW w:w="1061"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0.99</w:t>
            </w:r>
          </w:p>
        </w:tc>
      </w:tr>
      <w:tr w:rsidR="00967C4C" w:rsidRPr="003109B4" w:rsidTr="00967C4C">
        <w:trPr>
          <w:gridAfter w:val="1"/>
          <w:wAfter w:w="6" w:type="dxa"/>
          <w:trHeight w:val="261"/>
        </w:trPr>
        <w:tc>
          <w:tcPr>
            <w:tcW w:w="2268" w:type="dxa"/>
            <w:tcBorders>
              <w:top w:val="nil"/>
              <w:left w:val="nil"/>
              <w:bottom w:val="nil"/>
              <w:right w:val="nil"/>
            </w:tcBorders>
            <w:shd w:val="clear" w:color="auto" w:fill="auto"/>
            <w:noWrap/>
            <w:vAlign w:val="bottom"/>
            <w:hideMark/>
          </w:tcPr>
          <w:p w:rsidR="00967C4C" w:rsidRPr="003109B4" w:rsidRDefault="00967C4C" w:rsidP="00967C4C">
            <w:pPr>
              <w:rPr>
                <w:sz w:val="20"/>
                <w:szCs w:val="20"/>
              </w:rPr>
            </w:pPr>
            <w:r w:rsidRPr="003109B4">
              <w:rPr>
                <w:sz w:val="20"/>
                <w:szCs w:val="20"/>
              </w:rPr>
              <w:t>Informat</w:t>
            </w:r>
            <w:r>
              <w:rPr>
                <w:sz w:val="20"/>
                <w:szCs w:val="20"/>
              </w:rPr>
              <w:t>i</w:t>
            </w:r>
            <w:r w:rsidRPr="003109B4">
              <w:rPr>
                <w:rFonts w:hint="eastAsia"/>
                <w:sz w:val="20"/>
                <w:szCs w:val="20"/>
              </w:rPr>
              <w:t>o</w:t>
            </w:r>
            <w:r w:rsidRPr="003109B4">
              <w:rPr>
                <w:sz w:val="20"/>
                <w:szCs w:val="20"/>
              </w:rPr>
              <w:t>n Technology</w:t>
            </w:r>
          </w:p>
        </w:tc>
        <w:tc>
          <w:tcPr>
            <w:tcW w:w="851"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182</w:t>
            </w:r>
          </w:p>
        </w:tc>
        <w:tc>
          <w:tcPr>
            <w:tcW w:w="1134"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40.96</w:t>
            </w:r>
          </w:p>
        </w:tc>
        <w:tc>
          <w:tcPr>
            <w:tcW w:w="992"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44.38</w:t>
            </w:r>
          </w:p>
        </w:tc>
        <w:tc>
          <w:tcPr>
            <w:tcW w:w="1134"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17.88</w:t>
            </w:r>
          </w:p>
        </w:tc>
        <w:tc>
          <w:tcPr>
            <w:tcW w:w="1559"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16.62</w:t>
            </w:r>
          </w:p>
        </w:tc>
        <w:tc>
          <w:tcPr>
            <w:tcW w:w="1437"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61.96</w:t>
            </w:r>
          </w:p>
        </w:tc>
        <w:tc>
          <w:tcPr>
            <w:tcW w:w="1061"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-0.11</w:t>
            </w:r>
          </w:p>
        </w:tc>
      </w:tr>
      <w:tr w:rsidR="00967C4C" w:rsidRPr="003109B4" w:rsidTr="00967C4C">
        <w:trPr>
          <w:gridAfter w:val="1"/>
          <w:wAfter w:w="6" w:type="dxa"/>
          <w:trHeight w:val="261"/>
        </w:trPr>
        <w:tc>
          <w:tcPr>
            <w:tcW w:w="2268" w:type="dxa"/>
            <w:tcBorders>
              <w:top w:val="nil"/>
              <w:left w:val="nil"/>
              <w:bottom w:val="nil"/>
              <w:right w:val="nil"/>
            </w:tcBorders>
            <w:shd w:val="clear" w:color="auto" w:fill="auto"/>
            <w:noWrap/>
            <w:vAlign w:val="bottom"/>
            <w:hideMark/>
          </w:tcPr>
          <w:p w:rsidR="00967C4C" w:rsidRPr="003109B4" w:rsidRDefault="00967C4C" w:rsidP="00967C4C">
            <w:pPr>
              <w:rPr>
                <w:sz w:val="20"/>
                <w:szCs w:val="20"/>
              </w:rPr>
            </w:pPr>
            <w:r w:rsidRPr="003109B4">
              <w:rPr>
                <w:sz w:val="20"/>
                <w:szCs w:val="20"/>
              </w:rPr>
              <w:t>Accommodation</w:t>
            </w:r>
          </w:p>
        </w:tc>
        <w:tc>
          <w:tcPr>
            <w:tcW w:w="851"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77</w:t>
            </w:r>
          </w:p>
        </w:tc>
        <w:tc>
          <w:tcPr>
            <w:tcW w:w="1134"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37.76</w:t>
            </w:r>
          </w:p>
        </w:tc>
        <w:tc>
          <w:tcPr>
            <w:tcW w:w="992"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33.58</w:t>
            </w:r>
          </w:p>
        </w:tc>
        <w:tc>
          <w:tcPr>
            <w:tcW w:w="1134"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18.15</w:t>
            </w:r>
          </w:p>
        </w:tc>
        <w:tc>
          <w:tcPr>
            <w:tcW w:w="1559"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17.78</w:t>
            </w:r>
          </w:p>
        </w:tc>
        <w:tc>
          <w:tcPr>
            <w:tcW w:w="1437"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66.66</w:t>
            </w:r>
          </w:p>
        </w:tc>
        <w:tc>
          <w:tcPr>
            <w:tcW w:w="1061"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0.7</w:t>
            </w:r>
          </w:p>
        </w:tc>
      </w:tr>
      <w:tr w:rsidR="00967C4C" w:rsidRPr="003109B4" w:rsidTr="00967C4C">
        <w:trPr>
          <w:gridAfter w:val="1"/>
          <w:wAfter w:w="6" w:type="dxa"/>
          <w:trHeight w:val="261"/>
        </w:trPr>
        <w:tc>
          <w:tcPr>
            <w:tcW w:w="2268" w:type="dxa"/>
            <w:tcBorders>
              <w:top w:val="nil"/>
              <w:left w:val="nil"/>
              <w:bottom w:val="nil"/>
              <w:right w:val="nil"/>
            </w:tcBorders>
            <w:shd w:val="clear" w:color="auto" w:fill="auto"/>
            <w:noWrap/>
            <w:vAlign w:val="bottom"/>
            <w:hideMark/>
          </w:tcPr>
          <w:p w:rsidR="00967C4C" w:rsidRPr="003109B4" w:rsidRDefault="00967C4C" w:rsidP="00967C4C">
            <w:pPr>
              <w:rPr>
                <w:sz w:val="20"/>
                <w:szCs w:val="20"/>
              </w:rPr>
            </w:pPr>
            <w:r w:rsidRPr="003109B4">
              <w:rPr>
                <w:sz w:val="20"/>
                <w:szCs w:val="20"/>
              </w:rPr>
              <w:t>Entertainment</w:t>
            </w:r>
          </w:p>
        </w:tc>
        <w:tc>
          <w:tcPr>
            <w:tcW w:w="851"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54</w:t>
            </w:r>
          </w:p>
        </w:tc>
        <w:tc>
          <w:tcPr>
            <w:tcW w:w="1134"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35.78</w:t>
            </w:r>
          </w:p>
        </w:tc>
        <w:tc>
          <w:tcPr>
            <w:tcW w:w="992"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34.17</w:t>
            </w:r>
          </w:p>
        </w:tc>
        <w:tc>
          <w:tcPr>
            <w:tcW w:w="1134"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12.13</w:t>
            </w:r>
          </w:p>
        </w:tc>
        <w:tc>
          <w:tcPr>
            <w:tcW w:w="1559"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18.74</w:t>
            </w:r>
          </w:p>
        </w:tc>
        <w:tc>
          <w:tcPr>
            <w:tcW w:w="1437" w:type="dxa"/>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53.3</w:t>
            </w:r>
          </w:p>
        </w:tc>
        <w:tc>
          <w:tcPr>
            <w:tcW w:w="1061" w:type="dxa"/>
            <w:gridSpan w:val="2"/>
            <w:tcBorders>
              <w:top w:val="nil"/>
              <w:left w:val="nil"/>
              <w:bottom w:val="nil"/>
              <w:right w:val="nil"/>
            </w:tcBorders>
            <w:shd w:val="clear" w:color="auto" w:fill="auto"/>
            <w:noWrap/>
            <w:vAlign w:val="bottom"/>
            <w:hideMark/>
          </w:tcPr>
          <w:p w:rsidR="00967C4C" w:rsidRPr="003109B4" w:rsidRDefault="00967C4C" w:rsidP="00967C4C">
            <w:pPr>
              <w:jc w:val="center"/>
              <w:rPr>
                <w:sz w:val="20"/>
                <w:szCs w:val="20"/>
              </w:rPr>
            </w:pPr>
            <w:r w:rsidRPr="003109B4">
              <w:rPr>
                <w:sz w:val="20"/>
                <w:szCs w:val="20"/>
              </w:rPr>
              <w:t>0.06</w:t>
            </w:r>
          </w:p>
        </w:tc>
      </w:tr>
      <w:bookmarkEnd w:id="41"/>
      <w:bookmarkEnd w:id="42"/>
    </w:tbl>
    <w:p w:rsidR="00B73F9B" w:rsidRDefault="00B73F9B"/>
    <w:p w:rsidR="00BE1A5E" w:rsidRPr="007433A3" w:rsidRDefault="00604227" w:rsidP="007433A3">
      <w:pPr>
        <w:pStyle w:val="CommentText"/>
        <w:spacing w:line="480" w:lineRule="auto"/>
        <w:rPr>
          <w:sz w:val="24"/>
          <w:szCs w:val="24"/>
        </w:rPr>
      </w:pPr>
      <w:r w:rsidRPr="007433A3">
        <w:rPr>
          <w:sz w:val="24"/>
          <w:szCs w:val="24"/>
        </w:rPr>
        <w:lastRenderedPageBreak/>
        <w:t xml:space="preserve">On average, sample </w:t>
      </w:r>
      <w:bookmarkStart w:id="43" w:name="OLE_LINK48"/>
      <w:bookmarkStart w:id="44" w:name="OLE_LINK49"/>
      <w:r w:rsidRPr="007433A3">
        <w:rPr>
          <w:sz w:val="24"/>
          <w:szCs w:val="24"/>
        </w:rPr>
        <w:t>SOEs have around 55% debt</w:t>
      </w:r>
      <w:r w:rsidR="00B04B9C" w:rsidRPr="007433A3">
        <w:rPr>
          <w:sz w:val="24"/>
          <w:szCs w:val="24"/>
        </w:rPr>
        <w:t>-</w:t>
      </w:r>
      <w:r w:rsidRPr="007433A3">
        <w:rPr>
          <w:sz w:val="24"/>
          <w:szCs w:val="24"/>
        </w:rPr>
        <w:t>to</w:t>
      </w:r>
      <w:r w:rsidR="00B04B9C" w:rsidRPr="007433A3">
        <w:rPr>
          <w:sz w:val="24"/>
          <w:szCs w:val="24"/>
        </w:rPr>
        <w:t>-</w:t>
      </w:r>
      <w:r w:rsidRPr="007433A3">
        <w:rPr>
          <w:sz w:val="24"/>
          <w:szCs w:val="24"/>
        </w:rPr>
        <w:t xml:space="preserve">assets ratio, which is slightly higher than the benchmark 50%. </w:t>
      </w:r>
      <w:bookmarkEnd w:id="43"/>
      <w:bookmarkEnd w:id="44"/>
      <w:r w:rsidRPr="007433A3">
        <w:rPr>
          <w:sz w:val="24"/>
          <w:szCs w:val="24"/>
        </w:rPr>
        <w:t>However, there is a fat tail of firms with very high leverage with 90th percentile at 78.9</w:t>
      </w:r>
      <w:r w:rsidR="00197741" w:rsidRPr="007433A3">
        <w:rPr>
          <w:sz w:val="24"/>
          <w:szCs w:val="24"/>
        </w:rPr>
        <w:t>9</w:t>
      </w:r>
      <w:r w:rsidRPr="007433A3">
        <w:rPr>
          <w:sz w:val="24"/>
          <w:szCs w:val="24"/>
        </w:rPr>
        <w:t xml:space="preserve"> debt</w:t>
      </w:r>
      <w:r w:rsidR="00FF6F03" w:rsidRPr="007433A3">
        <w:rPr>
          <w:sz w:val="24"/>
          <w:szCs w:val="24"/>
        </w:rPr>
        <w:t>-</w:t>
      </w:r>
      <w:r w:rsidRPr="007433A3">
        <w:rPr>
          <w:sz w:val="24"/>
          <w:szCs w:val="24"/>
        </w:rPr>
        <w:t>to</w:t>
      </w:r>
      <w:r w:rsidR="00FF6F03" w:rsidRPr="007433A3">
        <w:rPr>
          <w:sz w:val="24"/>
          <w:szCs w:val="24"/>
        </w:rPr>
        <w:t>-</w:t>
      </w:r>
      <w:r w:rsidRPr="007433A3">
        <w:rPr>
          <w:sz w:val="24"/>
          <w:szCs w:val="24"/>
        </w:rPr>
        <w:t>assets ratio.</w:t>
      </w:r>
      <w:r w:rsidR="00B84B66" w:rsidRPr="007433A3">
        <w:rPr>
          <w:sz w:val="24"/>
          <w:szCs w:val="24"/>
        </w:rPr>
        <w:t xml:space="preserve"> </w:t>
      </w:r>
      <w:r w:rsidRPr="007433A3">
        <w:rPr>
          <w:sz w:val="24"/>
          <w:szCs w:val="24"/>
        </w:rPr>
        <w:t xml:space="preserve">In general, Chinese SOEs have considerable </w:t>
      </w:r>
      <w:r w:rsidR="00A477E9" w:rsidRPr="007433A3">
        <w:rPr>
          <w:sz w:val="24"/>
          <w:szCs w:val="24"/>
        </w:rPr>
        <w:t>number</w:t>
      </w:r>
      <w:r w:rsidRPr="007433A3">
        <w:rPr>
          <w:sz w:val="24"/>
          <w:szCs w:val="24"/>
        </w:rPr>
        <w:t xml:space="preserve"> of employees. Even 10th percentile of the sample has 686 employees, which could be considered as medium-sized business. The gap between median and mean number of employees come from the fact that a few large SOEs provide more than 10 thousand job opportunities while most SOEs have </w:t>
      </w:r>
      <w:r w:rsidR="00226933" w:rsidRPr="007433A3">
        <w:rPr>
          <w:sz w:val="24"/>
          <w:szCs w:val="24"/>
        </w:rPr>
        <w:t>1000</w:t>
      </w:r>
      <w:r w:rsidRPr="007433A3">
        <w:rPr>
          <w:sz w:val="24"/>
          <w:szCs w:val="24"/>
        </w:rPr>
        <w:t xml:space="preserve"> to 10</w:t>
      </w:r>
      <w:r w:rsidR="00226933" w:rsidRPr="007433A3">
        <w:rPr>
          <w:sz w:val="24"/>
          <w:szCs w:val="24"/>
        </w:rPr>
        <w:t xml:space="preserve">,000 </w:t>
      </w:r>
      <w:r w:rsidRPr="007433A3">
        <w:rPr>
          <w:sz w:val="24"/>
          <w:szCs w:val="24"/>
        </w:rPr>
        <w:t xml:space="preserve">employees. </w:t>
      </w:r>
      <w:r w:rsidR="007433A3" w:rsidRPr="007433A3">
        <w:rPr>
          <w:sz w:val="24"/>
          <w:szCs w:val="24"/>
        </w:rPr>
        <w:t>This statistic provides evidence of a main social responsibility of Chinese SOEs which is job creation.</w:t>
      </w:r>
      <w:r w:rsidR="007433A3">
        <w:rPr>
          <w:sz w:val="24"/>
          <w:szCs w:val="24"/>
        </w:rPr>
        <w:t xml:space="preserve"> </w:t>
      </w:r>
      <w:bookmarkStart w:id="45" w:name="OLE_LINK50"/>
      <w:bookmarkStart w:id="46" w:name="OLE_LINK51"/>
      <w:r w:rsidRPr="007433A3">
        <w:rPr>
          <w:sz w:val="24"/>
          <w:szCs w:val="24"/>
        </w:rPr>
        <w:t xml:space="preserve">For other measures of the firm size, such as book value of assets, market capitalization and enterprise value, the distributions are all highly right-skewed, which implies that most firms are relatively medium small firms while a small number of firms have very large size. </w:t>
      </w:r>
    </w:p>
    <w:bookmarkEnd w:id="45"/>
    <w:bookmarkEnd w:id="46"/>
    <w:p w:rsidR="00BE1A5E" w:rsidRDefault="00BE1A5E" w:rsidP="004C4654">
      <w:pPr>
        <w:spacing w:line="480" w:lineRule="auto"/>
        <w:jc w:val="both"/>
      </w:pPr>
    </w:p>
    <w:p w:rsidR="00BE1A5E" w:rsidRDefault="00604227" w:rsidP="004C4654">
      <w:pPr>
        <w:spacing w:line="480" w:lineRule="auto"/>
        <w:jc w:val="both"/>
      </w:pPr>
      <w:r>
        <w:t xml:space="preserve">Panel B provides the correlation matrix of key variables. </w:t>
      </w:r>
      <w:r w:rsidR="002A2A8A">
        <w:t xml:space="preserve">It shows that </w:t>
      </w:r>
      <w:r w:rsidR="00010CC0">
        <w:t xml:space="preserve">leverage has negative relationship with capital expenditure and profitability at a 0.1 significance level. </w:t>
      </w:r>
      <w:r w:rsidR="00C32C1E">
        <w:t xml:space="preserve">The correlation between leverage and other financial variables are not all significant in the matrix. </w:t>
      </w:r>
      <w:r>
        <w:t xml:space="preserve">Nevertheless, given the highly skewed distribution of the </w:t>
      </w:r>
      <w:r w:rsidR="0043394F">
        <w:t>variable</w:t>
      </w:r>
      <w:r>
        <w:t>s as well as complex factors relating to industries and regulations, more rigorous investigation will be shown in the regression section.</w:t>
      </w:r>
    </w:p>
    <w:p w:rsidR="00BE1A5E" w:rsidRDefault="00BE1A5E" w:rsidP="004C4654">
      <w:pPr>
        <w:spacing w:line="480" w:lineRule="auto"/>
        <w:jc w:val="both"/>
      </w:pPr>
    </w:p>
    <w:p w:rsidR="00BE1A5E" w:rsidRDefault="00604227" w:rsidP="004C4654">
      <w:pPr>
        <w:spacing w:line="480" w:lineRule="auto"/>
        <w:jc w:val="both"/>
      </w:pPr>
      <w:r>
        <w:t xml:space="preserve">Panel C ranks the </w:t>
      </w:r>
      <w:r w:rsidR="00C70684">
        <w:t>leverage</w:t>
      </w:r>
      <w:r>
        <w:t xml:space="preserve"> of the 812 firms between 2000-2017 by industry. </w:t>
      </w:r>
      <w:bookmarkStart w:id="47" w:name="OLE_LINK52"/>
      <w:bookmarkStart w:id="48" w:name="OLE_LINK53"/>
      <w:r>
        <w:t>The five industries that have highest debt</w:t>
      </w:r>
      <w:r w:rsidR="00E902C3">
        <w:t>-</w:t>
      </w:r>
      <w:r>
        <w:t>to</w:t>
      </w:r>
      <w:r w:rsidR="00E902C3">
        <w:t>-</w:t>
      </w:r>
      <w:r>
        <w:t>assets ratio are construction, real estate, financial, utilities and retail industries.</w:t>
      </w:r>
      <w:bookmarkEnd w:id="47"/>
      <w:bookmarkEnd w:id="48"/>
      <w:r>
        <w:t xml:space="preserve"> Real estate and utility industries require significant investment in buying properties and infrastructure, making it reasonable for carrying more debt. For financial industry, it is common to have a high leverage ratio given the fact that banks make profits from borrowing at a lower rate and lending at a higher rate. Construction sector overall has the highest leverage ratio. It could be explained by the fact that </w:t>
      </w:r>
      <w:r w:rsidR="007E157F">
        <w:t xml:space="preserve">Chinese </w:t>
      </w:r>
      <w:r>
        <w:t>construction firms usually have smaller turnover ratio, meaning that they have longer period before collecting cash from accounts receivable. However, firms in construction sector usually have high prepaid expenses that needs large capital</w:t>
      </w:r>
      <w:r w:rsidR="00D02951">
        <w:t xml:space="preserve">, resulting </w:t>
      </w:r>
      <w:r w:rsidR="00903439">
        <w:t>in more borrowing</w:t>
      </w:r>
      <w:r w:rsidR="00D02951">
        <w:t xml:space="preserve">. </w:t>
      </w:r>
    </w:p>
    <w:p w:rsidR="00BE1A5E" w:rsidRDefault="00BE1A5E" w:rsidP="004C4654">
      <w:pPr>
        <w:spacing w:line="480" w:lineRule="auto"/>
        <w:jc w:val="both"/>
      </w:pPr>
    </w:p>
    <w:p w:rsidR="00BE1A5E" w:rsidRPr="00650DC2" w:rsidRDefault="00604227" w:rsidP="004C4654">
      <w:pPr>
        <w:numPr>
          <w:ilvl w:val="0"/>
          <w:numId w:val="1"/>
        </w:numPr>
        <w:pBdr>
          <w:top w:val="nil"/>
          <w:left w:val="nil"/>
          <w:bottom w:val="nil"/>
          <w:right w:val="nil"/>
          <w:between w:val="nil"/>
        </w:pBdr>
        <w:spacing w:line="480" w:lineRule="auto"/>
        <w:jc w:val="center"/>
        <w:rPr>
          <w:b/>
        </w:rPr>
      </w:pPr>
      <w:r w:rsidRPr="00650DC2">
        <w:rPr>
          <w:b/>
        </w:rPr>
        <w:lastRenderedPageBreak/>
        <w:t>Leverage and Performance Trends</w:t>
      </w:r>
    </w:p>
    <w:p w:rsidR="00650DC2" w:rsidRDefault="00650DC2" w:rsidP="004C4654">
      <w:pPr>
        <w:pBdr>
          <w:top w:val="nil"/>
          <w:left w:val="nil"/>
          <w:bottom w:val="nil"/>
          <w:right w:val="nil"/>
          <w:between w:val="nil"/>
        </w:pBdr>
        <w:spacing w:line="480" w:lineRule="auto"/>
        <w:jc w:val="both"/>
      </w:pPr>
    </w:p>
    <w:p w:rsidR="00FE2A18" w:rsidRDefault="00FE2A18" w:rsidP="004C4654">
      <w:pPr>
        <w:pBdr>
          <w:top w:val="nil"/>
          <w:left w:val="nil"/>
          <w:bottom w:val="nil"/>
          <w:right w:val="nil"/>
          <w:between w:val="nil"/>
        </w:pBdr>
        <w:spacing w:line="480" w:lineRule="auto"/>
        <w:jc w:val="both"/>
        <w:rPr>
          <w:i/>
        </w:rPr>
      </w:pPr>
      <w:r w:rsidRPr="00FE2A18">
        <w:rPr>
          <w:i/>
        </w:rPr>
        <w:t>Aggregate Trends</w:t>
      </w:r>
    </w:p>
    <w:p w:rsidR="00FE2A18" w:rsidRPr="00FE2A18" w:rsidRDefault="00FE2A18" w:rsidP="004C4654">
      <w:pPr>
        <w:pBdr>
          <w:top w:val="nil"/>
          <w:left w:val="nil"/>
          <w:bottom w:val="nil"/>
          <w:right w:val="nil"/>
          <w:between w:val="nil"/>
        </w:pBdr>
        <w:spacing w:line="480" w:lineRule="auto"/>
        <w:jc w:val="both"/>
        <w:rPr>
          <w:i/>
        </w:rPr>
      </w:pPr>
    </w:p>
    <w:p w:rsidR="001C08AF" w:rsidRPr="00772665" w:rsidRDefault="001C08AF" w:rsidP="004C4654">
      <w:pPr>
        <w:pBdr>
          <w:top w:val="nil"/>
          <w:left w:val="nil"/>
          <w:bottom w:val="nil"/>
          <w:right w:val="nil"/>
          <w:between w:val="nil"/>
        </w:pBdr>
        <w:spacing w:line="480" w:lineRule="auto"/>
        <w:jc w:val="both"/>
      </w:pPr>
      <w:r>
        <w:t xml:space="preserve">Before the Split Share Structure Reform of 2005, the states owned shares were not tradable at market price but priced at the book value of </w:t>
      </w:r>
      <w:r w:rsidRPr="00137BBB">
        <w:t>assets</w:t>
      </w:r>
      <w:r w:rsidR="00772665" w:rsidRPr="00137BBB">
        <w:t xml:space="preserve"> (He et al, 2017 and Huang et al, 2018)</w:t>
      </w:r>
      <w:r w:rsidRPr="00137BBB">
        <w:t xml:space="preserve">. </w:t>
      </w:r>
      <w:r w:rsidR="00772665">
        <w:t>As the result, executives</w:t>
      </w:r>
      <w:r w:rsidR="00333573">
        <w:t xml:space="preserve"> </w:t>
      </w:r>
      <w:r w:rsidR="00F56B13">
        <w:t xml:space="preserve">compensated </w:t>
      </w:r>
      <w:r w:rsidR="00007265">
        <w:t>based on</w:t>
      </w:r>
      <w:r w:rsidR="00F56B13">
        <w:t xml:space="preserve"> book value </w:t>
      </w:r>
      <w:r w:rsidR="00772665">
        <w:t>have no incentives to improve firm</w:t>
      </w:r>
      <w:r w:rsidR="00F56B13">
        <w:t xml:space="preserve"> market</w:t>
      </w:r>
      <w:r w:rsidR="00772665">
        <w:t xml:space="preserve"> performance. The 2005 reform has made state non-tradable shares publicly tradable</w:t>
      </w:r>
      <w:r w:rsidR="00B17F3E">
        <w:t>, which mitigates the agency conflicts between management and government. M</w:t>
      </w:r>
      <w:r w:rsidR="007978E6">
        <w:t xml:space="preserve">ajority of the firms have completed the reform by the end of </w:t>
      </w:r>
      <w:r w:rsidR="007978E6" w:rsidRPr="00137BBB">
        <w:t>2007</w:t>
      </w:r>
      <w:r w:rsidR="00891F2B" w:rsidRPr="00137BBB">
        <w:t xml:space="preserve"> (Li, 2011)</w:t>
      </w:r>
      <w:r w:rsidR="007978E6" w:rsidRPr="00137BBB">
        <w:t xml:space="preserve">. </w:t>
      </w:r>
      <w:r w:rsidR="00B8552D">
        <w:t xml:space="preserve">The effect of the reform has </w:t>
      </w:r>
      <w:r w:rsidR="00001A61">
        <w:t xml:space="preserve">been </w:t>
      </w:r>
      <w:r w:rsidR="00B8552D">
        <w:t>shown in the sample.</w:t>
      </w:r>
    </w:p>
    <w:p w:rsidR="00BE1A5E" w:rsidRDefault="00BE1A5E" w:rsidP="004C4654">
      <w:pPr>
        <w:pBdr>
          <w:top w:val="nil"/>
          <w:left w:val="nil"/>
          <w:bottom w:val="nil"/>
          <w:right w:val="nil"/>
          <w:between w:val="nil"/>
        </w:pBdr>
        <w:spacing w:line="480" w:lineRule="auto"/>
        <w:jc w:val="both"/>
      </w:pPr>
    </w:p>
    <w:p w:rsidR="00E5665D" w:rsidRDefault="00505AD9" w:rsidP="00E5665D">
      <w:pPr>
        <w:pBdr>
          <w:top w:val="nil"/>
          <w:left w:val="nil"/>
          <w:bottom w:val="nil"/>
          <w:right w:val="nil"/>
          <w:between w:val="nil"/>
        </w:pBdr>
        <w:spacing w:line="276" w:lineRule="auto"/>
        <w:jc w:val="center"/>
      </w:pPr>
      <w:r>
        <w:rPr>
          <w:noProof/>
        </w:rPr>
        <w:drawing>
          <wp:inline distT="0" distB="0" distL="0" distR="0" wp14:anchorId="769F4E55" wp14:editId="588D1122">
            <wp:extent cx="2625090" cy="169354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rotWithShape="1">
                    <a:blip r:embed="rId9" cstate="print">
                      <a:extLst>
                        <a:ext uri="{28A0092B-C50C-407E-A947-70E740481C1C}">
                          <a14:useLocalDpi xmlns:a14="http://schemas.microsoft.com/office/drawing/2010/main" val="0"/>
                        </a:ext>
                      </a:extLst>
                    </a:blip>
                    <a:srcRect l="1254" t="1936" r="2047"/>
                    <a:stretch/>
                  </pic:blipFill>
                  <pic:spPr bwMode="auto">
                    <a:xfrm>
                      <a:off x="0" y="0"/>
                      <a:ext cx="2625090" cy="1693545"/>
                    </a:xfrm>
                    <a:prstGeom prst="rect">
                      <a:avLst/>
                    </a:prstGeom>
                    <a:ln>
                      <a:noFill/>
                    </a:ln>
                    <a:extLst>
                      <a:ext uri="{53640926-AAD7-44D8-BBD7-CCE9431645EC}">
                        <a14:shadowObscured xmlns:a14="http://schemas.microsoft.com/office/drawing/2010/main"/>
                      </a:ext>
                    </a:extLst>
                  </pic:spPr>
                </pic:pic>
              </a:graphicData>
            </a:graphic>
          </wp:inline>
        </w:drawing>
      </w:r>
      <w:r w:rsidR="00E54240">
        <w:tab/>
      </w:r>
      <w:r w:rsidR="006D7ACF">
        <w:tab/>
      </w:r>
      <w:r w:rsidR="006D7ACF">
        <w:tab/>
      </w:r>
      <w:r>
        <w:rPr>
          <w:noProof/>
        </w:rPr>
        <w:drawing>
          <wp:inline distT="0" distB="0" distL="0" distR="0" wp14:anchorId="4D4A1674" wp14:editId="2E4C3350">
            <wp:extent cx="2624833" cy="1688748"/>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rotWithShape="1">
                    <a:blip r:embed="rId10" cstate="print">
                      <a:extLst>
                        <a:ext uri="{28A0092B-C50C-407E-A947-70E740481C1C}">
                          <a14:useLocalDpi xmlns:a14="http://schemas.microsoft.com/office/drawing/2010/main" val="0"/>
                        </a:ext>
                      </a:extLst>
                    </a:blip>
                    <a:srcRect l="1284" t="2291" r="1552" b="2128"/>
                    <a:stretch/>
                  </pic:blipFill>
                  <pic:spPr bwMode="auto">
                    <a:xfrm>
                      <a:off x="0" y="0"/>
                      <a:ext cx="2624833" cy="1688748"/>
                    </a:xfrm>
                    <a:prstGeom prst="rect">
                      <a:avLst/>
                    </a:prstGeom>
                    <a:ln>
                      <a:noFill/>
                    </a:ln>
                    <a:extLst>
                      <a:ext uri="{53640926-AAD7-44D8-BBD7-CCE9431645EC}">
                        <a14:shadowObscured xmlns:a14="http://schemas.microsoft.com/office/drawing/2010/main"/>
                      </a:ext>
                    </a:extLst>
                  </pic:spPr>
                </pic:pic>
              </a:graphicData>
            </a:graphic>
          </wp:inline>
        </w:drawing>
      </w:r>
    </w:p>
    <w:p w:rsidR="00C631E8" w:rsidRPr="00E5665D" w:rsidRDefault="00C631E8" w:rsidP="00E5665D">
      <w:pPr>
        <w:pBdr>
          <w:top w:val="nil"/>
          <w:left w:val="nil"/>
          <w:bottom w:val="nil"/>
          <w:right w:val="nil"/>
          <w:between w:val="nil"/>
        </w:pBdr>
        <w:spacing w:line="276" w:lineRule="auto"/>
        <w:jc w:val="center"/>
      </w:pPr>
      <w:r>
        <w:rPr>
          <w:sz w:val="20"/>
          <w:szCs w:val="20"/>
        </w:rPr>
        <w:t>Fig. 3. SOEs leverage ratios</w:t>
      </w:r>
      <w:r w:rsidR="00E5665D">
        <w:rPr>
          <w:sz w:val="20"/>
          <w:szCs w:val="20"/>
        </w:rPr>
        <w:tab/>
      </w:r>
      <w:r w:rsidR="00E5665D">
        <w:rPr>
          <w:sz w:val="20"/>
          <w:szCs w:val="20"/>
        </w:rPr>
        <w:tab/>
      </w:r>
      <w:r w:rsidR="00E5665D">
        <w:rPr>
          <w:sz w:val="20"/>
          <w:szCs w:val="20"/>
        </w:rPr>
        <w:tab/>
      </w:r>
      <w:r w:rsidR="00E5665D">
        <w:rPr>
          <w:sz w:val="20"/>
          <w:szCs w:val="20"/>
        </w:rPr>
        <w:tab/>
      </w:r>
      <w:r w:rsidR="00E5665D">
        <w:rPr>
          <w:sz w:val="20"/>
          <w:szCs w:val="20"/>
        </w:rPr>
        <w:tab/>
      </w:r>
      <w:r>
        <w:rPr>
          <w:sz w:val="20"/>
          <w:szCs w:val="20"/>
        </w:rPr>
        <w:t>Fig. 4. SOEs median net profit</w:t>
      </w:r>
    </w:p>
    <w:p w:rsidR="006C3A4E" w:rsidRDefault="006C3A4E">
      <w:pPr>
        <w:pBdr>
          <w:top w:val="nil"/>
          <w:left w:val="nil"/>
          <w:bottom w:val="nil"/>
          <w:right w:val="nil"/>
          <w:between w:val="nil"/>
        </w:pBdr>
        <w:spacing w:line="276" w:lineRule="auto"/>
      </w:pPr>
    </w:p>
    <w:p w:rsidR="006C3A4E" w:rsidRDefault="00505AD9" w:rsidP="00E54240">
      <w:pPr>
        <w:pBdr>
          <w:top w:val="nil"/>
          <w:left w:val="nil"/>
          <w:bottom w:val="nil"/>
          <w:right w:val="nil"/>
          <w:between w:val="nil"/>
        </w:pBdr>
        <w:spacing w:line="276" w:lineRule="auto"/>
        <w:jc w:val="center"/>
      </w:pPr>
      <w:r>
        <w:rPr>
          <w:noProof/>
        </w:rPr>
        <w:drawing>
          <wp:inline distT="0" distB="0" distL="0" distR="0" wp14:anchorId="7DDA85D4" wp14:editId="434D0968">
            <wp:extent cx="2625090" cy="1636295"/>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rotWithShape="1">
                    <a:blip r:embed="rId11" cstate="print">
                      <a:extLst>
                        <a:ext uri="{28A0092B-C50C-407E-A947-70E740481C1C}">
                          <a14:useLocalDpi xmlns:a14="http://schemas.microsoft.com/office/drawing/2010/main" val="0"/>
                        </a:ext>
                      </a:extLst>
                    </a:blip>
                    <a:srcRect l="1009" t="1553" r="1427" b="1906"/>
                    <a:stretch/>
                  </pic:blipFill>
                  <pic:spPr bwMode="auto">
                    <a:xfrm>
                      <a:off x="0" y="0"/>
                      <a:ext cx="2682304" cy="1671958"/>
                    </a:xfrm>
                    <a:prstGeom prst="rect">
                      <a:avLst/>
                    </a:prstGeom>
                    <a:ln>
                      <a:noFill/>
                    </a:ln>
                    <a:extLst>
                      <a:ext uri="{53640926-AAD7-44D8-BBD7-CCE9431645EC}">
                        <a14:shadowObscured xmlns:a14="http://schemas.microsoft.com/office/drawing/2010/main"/>
                      </a:ext>
                    </a:extLst>
                  </pic:spPr>
                </pic:pic>
              </a:graphicData>
            </a:graphic>
          </wp:inline>
        </w:drawing>
      </w:r>
      <w:r w:rsidR="00E54240">
        <w:tab/>
      </w:r>
      <w:r w:rsidR="00E54240">
        <w:tab/>
      </w:r>
      <w:r w:rsidR="00E54240">
        <w:tab/>
      </w:r>
      <w:r w:rsidR="006C3A4E">
        <w:rPr>
          <w:noProof/>
        </w:rPr>
        <w:drawing>
          <wp:inline distT="0" distB="0" distL="0" distR="0">
            <wp:extent cx="2616200" cy="167255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rotWithShape="1">
                    <a:blip r:embed="rId12" cstate="print">
                      <a:extLst>
                        <a:ext uri="{28A0092B-C50C-407E-A947-70E740481C1C}">
                          <a14:useLocalDpi xmlns:a14="http://schemas.microsoft.com/office/drawing/2010/main" val="0"/>
                        </a:ext>
                      </a:extLst>
                    </a:blip>
                    <a:srcRect l="1240" t="1593" r="1720" b="2860"/>
                    <a:stretch/>
                  </pic:blipFill>
                  <pic:spPr bwMode="auto">
                    <a:xfrm>
                      <a:off x="0" y="0"/>
                      <a:ext cx="2639437" cy="1687406"/>
                    </a:xfrm>
                    <a:prstGeom prst="rect">
                      <a:avLst/>
                    </a:prstGeom>
                    <a:ln>
                      <a:noFill/>
                    </a:ln>
                    <a:extLst>
                      <a:ext uri="{53640926-AAD7-44D8-BBD7-CCE9431645EC}">
                        <a14:shadowObscured xmlns:a14="http://schemas.microsoft.com/office/drawing/2010/main"/>
                      </a:ext>
                    </a:extLst>
                  </pic:spPr>
                </pic:pic>
              </a:graphicData>
            </a:graphic>
          </wp:inline>
        </w:drawing>
      </w:r>
    </w:p>
    <w:p w:rsidR="00C631E8" w:rsidRPr="00505AD9" w:rsidRDefault="00C631E8" w:rsidP="00725BA1">
      <w:pPr>
        <w:pBdr>
          <w:top w:val="nil"/>
          <w:left w:val="nil"/>
          <w:bottom w:val="nil"/>
          <w:right w:val="nil"/>
          <w:between w:val="nil"/>
        </w:pBdr>
        <w:spacing w:line="276" w:lineRule="auto"/>
        <w:jc w:val="center"/>
        <w:rPr>
          <w:sz w:val="20"/>
          <w:szCs w:val="20"/>
        </w:rPr>
      </w:pPr>
      <w:r>
        <w:rPr>
          <w:sz w:val="20"/>
          <w:szCs w:val="20"/>
        </w:rPr>
        <w:t>Fig. 5. SOEs median return on invested capital ratios</w:t>
      </w:r>
      <w:r w:rsidR="00725BA1">
        <w:rPr>
          <w:sz w:val="20"/>
          <w:szCs w:val="20"/>
        </w:rPr>
        <w:tab/>
      </w:r>
      <w:r w:rsidR="00725BA1">
        <w:rPr>
          <w:sz w:val="20"/>
          <w:szCs w:val="20"/>
        </w:rPr>
        <w:tab/>
      </w:r>
      <w:r w:rsidR="00725BA1">
        <w:rPr>
          <w:sz w:val="20"/>
          <w:szCs w:val="20"/>
        </w:rPr>
        <w:tab/>
      </w:r>
      <w:r>
        <w:rPr>
          <w:sz w:val="20"/>
          <w:szCs w:val="20"/>
        </w:rPr>
        <w:t>Fig. 6. Operating margin of SOEs by leverage levels</w:t>
      </w:r>
    </w:p>
    <w:p w:rsidR="00BE1A5E" w:rsidRDefault="00604227">
      <w:pPr>
        <w:pBdr>
          <w:top w:val="nil"/>
          <w:left w:val="nil"/>
          <w:bottom w:val="nil"/>
          <w:right w:val="nil"/>
          <w:between w:val="nil"/>
        </w:pBdr>
        <w:spacing w:line="276" w:lineRule="auto"/>
      </w:pPr>
      <w:r>
        <w:tab/>
      </w:r>
      <w:r>
        <w:tab/>
      </w:r>
      <w:r>
        <w:tab/>
      </w:r>
      <w:r>
        <w:tab/>
      </w:r>
      <w:r>
        <w:tab/>
      </w:r>
    </w:p>
    <w:p w:rsidR="00BE1A5E" w:rsidRDefault="00BE1A5E">
      <w:pPr>
        <w:pBdr>
          <w:top w:val="nil"/>
          <w:left w:val="nil"/>
          <w:bottom w:val="nil"/>
          <w:right w:val="nil"/>
          <w:between w:val="nil"/>
        </w:pBdr>
        <w:spacing w:line="276" w:lineRule="auto"/>
      </w:pPr>
    </w:p>
    <w:p w:rsidR="00DC173E" w:rsidRDefault="0095061D" w:rsidP="007F0A5D">
      <w:pPr>
        <w:pBdr>
          <w:top w:val="nil"/>
          <w:left w:val="nil"/>
          <w:bottom w:val="nil"/>
          <w:right w:val="nil"/>
          <w:between w:val="nil"/>
        </w:pBdr>
        <w:spacing w:line="480" w:lineRule="auto"/>
        <w:jc w:val="both"/>
      </w:pPr>
      <w:r>
        <w:t>Fig.</w:t>
      </w:r>
      <w:r w:rsidR="00604227">
        <w:t xml:space="preserve"> 3-6 illustrates the aggregate </w:t>
      </w:r>
      <w:r w:rsidR="005E5A77">
        <w:t>leverage and profitability</w:t>
      </w:r>
      <w:r w:rsidR="00604227">
        <w:t xml:space="preserve"> of the sample from 2000 to 2017. </w:t>
      </w:r>
      <w:r w:rsidR="002F117C">
        <w:t xml:space="preserve">Fig. </w:t>
      </w:r>
      <w:r w:rsidR="00961863">
        <w:t>3</w:t>
      </w:r>
      <w:r w:rsidR="002F117C">
        <w:t xml:space="preserve"> shows that on average SOEs have increased their leverage by 30 percent from 2000 to 2007. </w:t>
      </w:r>
      <w:r w:rsidR="00E36BE0">
        <w:t xml:space="preserve">Since 2007, </w:t>
      </w:r>
      <w:bookmarkStart w:id="49" w:name="OLE_LINK54"/>
      <w:bookmarkStart w:id="50" w:name="OLE_LINK55"/>
      <w:r w:rsidR="00E36BE0">
        <w:t xml:space="preserve">the leverage ratios of SOEs have stayed relatively flat </w:t>
      </w:r>
      <w:bookmarkEnd w:id="49"/>
      <w:bookmarkEnd w:id="50"/>
      <w:r w:rsidR="00E36BE0">
        <w:t>without deleveraging</w:t>
      </w:r>
      <w:r w:rsidR="000B01DE">
        <w:t xml:space="preserve">. </w:t>
      </w:r>
      <w:r w:rsidR="00E6651A">
        <w:t xml:space="preserve">The </w:t>
      </w:r>
      <w:r w:rsidR="00990069">
        <w:t>debt-to-assets</w:t>
      </w:r>
      <w:r w:rsidR="00E6651A">
        <w:t xml:space="preserve"> ratios at 75</w:t>
      </w:r>
      <w:r w:rsidR="00E6651A" w:rsidRPr="00E6651A">
        <w:rPr>
          <w:vertAlign w:val="superscript"/>
        </w:rPr>
        <w:t>th</w:t>
      </w:r>
      <w:r w:rsidR="00E6651A">
        <w:t xml:space="preserve"> and 90</w:t>
      </w:r>
      <w:r w:rsidR="00E6651A" w:rsidRPr="00E6651A">
        <w:rPr>
          <w:vertAlign w:val="superscript"/>
        </w:rPr>
        <w:t>th</w:t>
      </w:r>
      <w:r w:rsidR="00E6651A">
        <w:t xml:space="preserve"> percentile </w:t>
      </w:r>
      <w:proofErr w:type="gramStart"/>
      <w:r w:rsidR="00E6651A">
        <w:t>are</w:t>
      </w:r>
      <w:proofErr w:type="gramEnd"/>
      <w:r w:rsidR="00E6651A">
        <w:t xml:space="preserve"> considerably high. </w:t>
      </w:r>
      <w:r w:rsidR="000F39FF">
        <w:t>As</w:t>
      </w:r>
      <w:r w:rsidR="00965FA5">
        <w:t xml:space="preserve"> </w:t>
      </w:r>
      <w:r w:rsidR="006B3DC5">
        <w:t xml:space="preserve">the </w:t>
      </w:r>
      <w:r w:rsidR="00743A20">
        <w:t>baseline</w:t>
      </w:r>
      <w:r w:rsidR="000F39FF">
        <w:t xml:space="preserve">, the debt-to-assets ratio greater than 0.6 suggests high risk of </w:t>
      </w:r>
      <w:r w:rsidR="000F39FF">
        <w:lastRenderedPageBreak/>
        <w:t xml:space="preserve">default. </w:t>
      </w:r>
      <w:r w:rsidR="00743A20">
        <w:t>The leverage at 90</w:t>
      </w:r>
      <w:r w:rsidR="00743A20" w:rsidRPr="00743A20">
        <w:rPr>
          <w:vertAlign w:val="superscript"/>
        </w:rPr>
        <w:t>th</w:t>
      </w:r>
      <w:r w:rsidR="00743A20">
        <w:t xml:space="preserve"> percentile mount</w:t>
      </w:r>
      <w:r w:rsidR="002723BF">
        <w:t>ed</w:t>
      </w:r>
      <w:r w:rsidR="00743A20">
        <w:t xml:space="preserve"> at 85 percent before the reform, meaning debt borrowing is more than five times </w:t>
      </w:r>
      <w:r w:rsidR="002516C9">
        <w:t xml:space="preserve">of </w:t>
      </w:r>
      <w:r w:rsidR="00743A20">
        <w:t xml:space="preserve">equity </w:t>
      </w:r>
      <w:r w:rsidR="007D5D08">
        <w:t>issuance</w:t>
      </w:r>
      <w:r w:rsidR="00743A20">
        <w:t>, indicates serious problem.</w:t>
      </w:r>
      <w:r w:rsidR="007D5D08">
        <w:t xml:space="preserve"> </w:t>
      </w:r>
      <w:r w:rsidR="007B58F8">
        <w:t>The 90</w:t>
      </w:r>
      <w:r w:rsidR="007B58F8" w:rsidRPr="007B58F8">
        <w:rPr>
          <w:vertAlign w:val="superscript"/>
        </w:rPr>
        <w:t>th</w:t>
      </w:r>
      <w:r w:rsidR="007B58F8">
        <w:t xml:space="preserve"> percentile graph also demonstrates the effect of </w:t>
      </w:r>
      <w:r w:rsidR="00036B3F">
        <w:t xml:space="preserve">SOEs’ </w:t>
      </w:r>
      <w:r w:rsidR="007B58F8">
        <w:t xml:space="preserve">privatization on deleveraging </w:t>
      </w:r>
      <w:r w:rsidR="0018392E">
        <w:t>from 2005 to 2007</w:t>
      </w:r>
      <w:r w:rsidR="007B58F8">
        <w:t>.</w:t>
      </w:r>
    </w:p>
    <w:p w:rsidR="000F789F" w:rsidRDefault="000F789F" w:rsidP="007F0A5D">
      <w:pPr>
        <w:pBdr>
          <w:top w:val="nil"/>
          <w:left w:val="nil"/>
          <w:bottom w:val="nil"/>
          <w:right w:val="nil"/>
          <w:between w:val="nil"/>
        </w:pBdr>
        <w:spacing w:line="480" w:lineRule="auto"/>
        <w:jc w:val="both"/>
      </w:pPr>
    </w:p>
    <w:p w:rsidR="003715B1" w:rsidRPr="00453786" w:rsidRDefault="0092255A" w:rsidP="007F0A5D">
      <w:pPr>
        <w:pBdr>
          <w:top w:val="nil"/>
          <w:left w:val="nil"/>
          <w:bottom w:val="nil"/>
          <w:right w:val="nil"/>
          <w:between w:val="nil"/>
        </w:pBdr>
        <w:spacing w:line="480" w:lineRule="auto"/>
        <w:jc w:val="both"/>
      </w:pPr>
      <w:r>
        <w:t>Fig.</w:t>
      </w:r>
      <w:r w:rsidR="00604227">
        <w:t xml:space="preserve"> 4 shows that </w:t>
      </w:r>
      <w:bookmarkStart w:id="51" w:name="OLE_LINK56"/>
      <w:bookmarkStart w:id="52" w:name="OLE_LINK57"/>
      <w:r w:rsidR="00604227">
        <w:t xml:space="preserve">the median net </w:t>
      </w:r>
      <w:r>
        <w:t>profit</w:t>
      </w:r>
      <w:r w:rsidR="00604227">
        <w:t xml:space="preserve"> has a</w:t>
      </w:r>
      <w:r>
        <w:t>n</w:t>
      </w:r>
      <w:r w:rsidR="00604227">
        <w:t xml:space="preserve"> </w:t>
      </w:r>
      <w:r w:rsidR="000B5C8F">
        <w:t xml:space="preserve">overall </w:t>
      </w:r>
      <w:r w:rsidR="00604227">
        <w:t xml:space="preserve">increasing trend </w:t>
      </w:r>
      <w:r w:rsidR="00382FF9">
        <w:t>with fluctuation in some years</w:t>
      </w:r>
      <w:r w:rsidR="00604227">
        <w:t>.</w:t>
      </w:r>
      <w:r w:rsidR="004E174D">
        <w:t xml:space="preserve"> </w:t>
      </w:r>
      <w:bookmarkEnd w:id="51"/>
      <w:bookmarkEnd w:id="52"/>
      <w:r w:rsidR="00604227">
        <w:t xml:space="preserve">Nevertheless, given the fact that the sample data is highly right-skewed, using net </w:t>
      </w:r>
      <w:r w:rsidR="008A46C9">
        <w:t>profit</w:t>
      </w:r>
      <w:r w:rsidR="00604227">
        <w:t xml:space="preserve"> alone to </w:t>
      </w:r>
      <w:r w:rsidR="00DE5854">
        <w:t xml:space="preserve">measure </w:t>
      </w:r>
      <w:r w:rsidR="00604227">
        <w:t xml:space="preserve">firms’ profitability is not persuasive. Instead, </w:t>
      </w:r>
      <w:r w:rsidR="003715B1" w:rsidRPr="00453786">
        <w:t>return on invested capital</w:t>
      </w:r>
      <w:r w:rsidR="003715B1" w:rsidRPr="00453786">
        <w:rPr>
          <w:rStyle w:val="FootnoteReference"/>
        </w:rPr>
        <w:footnoteReference w:id="2"/>
      </w:r>
      <w:r w:rsidR="003715B1" w:rsidRPr="00453786">
        <w:t xml:space="preserve"> and operating profit margin</w:t>
      </w:r>
      <w:r w:rsidR="003715B1" w:rsidRPr="00453786">
        <w:rPr>
          <w:rStyle w:val="FootnoteReference"/>
        </w:rPr>
        <w:footnoteReference w:id="3"/>
      </w:r>
    </w:p>
    <w:p w:rsidR="00BE1A5E" w:rsidRDefault="00604227" w:rsidP="007F0A5D">
      <w:pPr>
        <w:pBdr>
          <w:top w:val="nil"/>
          <w:left w:val="nil"/>
          <w:bottom w:val="nil"/>
          <w:right w:val="nil"/>
          <w:between w:val="nil"/>
        </w:pBdr>
        <w:spacing w:line="480" w:lineRule="auto"/>
        <w:jc w:val="both"/>
      </w:pPr>
      <w:r>
        <w:t xml:space="preserve">as indicators of the firm profitability have better explanatory power because these two ratios have been adjusted for firm size. As is shown in </w:t>
      </w:r>
      <w:r w:rsidR="00303C59">
        <w:t>Fig.</w:t>
      </w:r>
      <w:r>
        <w:t xml:space="preserve"> 5 and </w:t>
      </w:r>
      <w:r w:rsidR="00303C59">
        <w:t>Fig.</w:t>
      </w:r>
      <w:r>
        <w:t xml:space="preserve"> 6, these two indicators don’t have an increasing trend as </w:t>
      </w:r>
      <w:r w:rsidR="005B6740">
        <w:t xml:space="preserve">presents in </w:t>
      </w:r>
      <w:r>
        <w:t xml:space="preserve">the net </w:t>
      </w:r>
      <w:r w:rsidR="005B6740">
        <w:t>profit</w:t>
      </w:r>
      <w:r w:rsidR="00530889">
        <w:t xml:space="preserve"> graph</w:t>
      </w:r>
      <w:r>
        <w:t>.</w:t>
      </w:r>
      <w:r w:rsidR="009351B4">
        <w:t xml:space="preserve"> </w:t>
      </w:r>
      <w:r w:rsidR="007C2C6C">
        <w:t>On the contrary</w:t>
      </w:r>
      <w:r>
        <w:t xml:space="preserve">, </w:t>
      </w:r>
      <w:bookmarkStart w:id="53" w:name="OLE_LINK43"/>
      <w:bookmarkStart w:id="54" w:name="OLE_LINK44"/>
      <w:r>
        <w:t xml:space="preserve">aggregate </w:t>
      </w:r>
      <w:r w:rsidR="00B045D2">
        <w:t>operating</w:t>
      </w:r>
      <w:r>
        <w:t xml:space="preserve"> margin has </w:t>
      </w:r>
      <w:r w:rsidR="00211528">
        <w:t>significantly</w:t>
      </w:r>
      <w:r w:rsidR="007C2C6C">
        <w:t xml:space="preserve"> </w:t>
      </w:r>
      <w:r w:rsidR="00D538E0">
        <w:t xml:space="preserve">decreased by 50 percent before the </w:t>
      </w:r>
      <w:r w:rsidR="009A3DCE">
        <w:t>20</w:t>
      </w:r>
      <w:r w:rsidR="00832256">
        <w:t>0</w:t>
      </w:r>
      <w:r w:rsidR="009A3DCE">
        <w:t xml:space="preserve">5 </w:t>
      </w:r>
      <w:r w:rsidR="00D538E0">
        <w:t>reform</w:t>
      </w:r>
      <w:r w:rsidR="005B7C1E">
        <w:t xml:space="preserve"> corresponding to the 30 percent increase in leverage. </w:t>
      </w:r>
      <w:bookmarkEnd w:id="53"/>
      <w:bookmarkEnd w:id="54"/>
      <w:r w:rsidR="009A3DCE">
        <w:t xml:space="preserve">Both measures of profitability </w:t>
      </w:r>
      <w:r w:rsidR="00F02D2E">
        <w:t>show</w:t>
      </w:r>
      <w:r w:rsidR="009A3DCE">
        <w:t xml:space="preserve"> evidence for an improving firm performance during the reform.</w:t>
      </w:r>
      <w:r w:rsidR="00ED626D">
        <w:t xml:space="preserve"> </w:t>
      </w:r>
      <w:r w:rsidR="006D0633">
        <w:t xml:space="preserve">In addition, Fig. 6 presents the firm profitability with respect to different leverage levels. </w:t>
      </w:r>
      <w:r w:rsidR="007623D3">
        <w:t xml:space="preserve">Firms with debt-to-assets ratio greater than 0.6 are considered high leverage (risky) firms and </w:t>
      </w:r>
      <w:r w:rsidR="00A90BB9">
        <w:t xml:space="preserve">with ratio </w:t>
      </w:r>
      <w:r w:rsidR="007623D3">
        <w:t>less than 0.4 are considered low leverage (healthy) firms.</w:t>
      </w:r>
      <w:r w:rsidR="006D0633">
        <w:t xml:space="preserve"> </w:t>
      </w:r>
      <w:r w:rsidR="0032495B">
        <w:t>In the post-</w:t>
      </w:r>
      <w:r w:rsidR="00394144">
        <w:t>R</w:t>
      </w:r>
      <w:r w:rsidR="0032495B">
        <w:t xml:space="preserve">eform period, the operating performance of low leverage firms is 1.8 to 2 times better than firms with high leverage. </w:t>
      </w:r>
      <w:r w:rsidR="00CE2785">
        <w:t xml:space="preserve">Since the profitability is counted using EBIT, the profits of highly leveraged firms </w:t>
      </w:r>
      <w:r w:rsidR="00FD0853">
        <w:t>after interest</w:t>
      </w:r>
      <w:r w:rsidR="009E5125">
        <w:t xml:space="preserve"> </w:t>
      </w:r>
      <w:r w:rsidR="00FD0853">
        <w:t xml:space="preserve">payment </w:t>
      </w:r>
      <w:r w:rsidR="00CE2785">
        <w:t>would be worse.</w:t>
      </w:r>
      <w:r w:rsidR="00805418">
        <w:t xml:space="preserve"> Generally</w:t>
      </w:r>
      <w:r w:rsidR="00A27382">
        <w:t xml:space="preserve">, </w:t>
      </w:r>
      <w:r w:rsidR="00805418">
        <w:t>t</w:t>
      </w:r>
      <w:r>
        <w:t>he graphs above</w:t>
      </w:r>
      <w:r w:rsidR="00C57E00">
        <w:t xml:space="preserve"> </w:t>
      </w:r>
      <w:r>
        <w:t>suggest a negative relationship between firm leverage and operational performance.</w:t>
      </w:r>
    </w:p>
    <w:p w:rsidR="00601C11" w:rsidRDefault="00601C11">
      <w:pPr>
        <w:pBdr>
          <w:top w:val="nil"/>
          <w:left w:val="nil"/>
          <w:bottom w:val="nil"/>
          <w:right w:val="nil"/>
          <w:between w:val="nil"/>
        </w:pBdr>
        <w:spacing w:line="276" w:lineRule="auto"/>
      </w:pPr>
    </w:p>
    <w:p w:rsidR="009F1BB5" w:rsidRDefault="009F1BB5" w:rsidP="009F1BB5">
      <w:pPr>
        <w:pBdr>
          <w:top w:val="nil"/>
          <w:left w:val="nil"/>
          <w:bottom w:val="nil"/>
          <w:right w:val="nil"/>
          <w:between w:val="nil"/>
        </w:pBdr>
        <w:spacing w:line="276" w:lineRule="auto"/>
        <w:jc w:val="center"/>
      </w:pPr>
      <w:r>
        <w:rPr>
          <w:noProof/>
        </w:rPr>
        <w:drawing>
          <wp:inline distT="0" distB="0" distL="0" distR="0">
            <wp:extent cx="2584354" cy="16646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rotWithShape="1">
                    <a:blip r:embed="rId13" cstate="print">
                      <a:extLst>
                        <a:ext uri="{28A0092B-C50C-407E-A947-70E740481C1C}">
                          <a14:useLocalDpi xmlns:a14="http://schemas.microsoft.com/office/drawing/2010/main" val="0"/>
                        </a:ext>
                      </a:extLst>
                    </a:blip>
                    <a:srcRect l="902" t="1771" r="644" b="1265"/>
                    <a:stretch/>
                  </pic:blipFill>
                  <pic:spPr bwMode="auto">
                    <a:xfrm>
                      <a:off x="0" y="0"/>
                      <a:ext cx="2618682" cy="1686789"/>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rPr>
          <w:noProof/>
        </w:rPr>
        <w:drawing>
          <wp:inline distT="0" distB="0" distL="0" distR="0">
            <wp:extent cx="2573826" cy="1641326"/>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rotWithShape="1">
                    <a:blip r:embed="rId14" cstate="print">
                      <a:extLst>
                        <a:ext uri="{28A0092B-C50C-407E-A947-70E740481C1C}">
                          <a14:useLocalDpi xmlns:a14="http://schemas.microsoft.com/office/drawing/2010/main" val="0"/>
                        </a:ext>
                      </a:extLst>
                    </a:blip>
                    <a:srcRect l="642" t="1191" r="808" b="1664"/>
                    <a:stretch/>
                  </pic:blipFill>
                  <pic:spPr bwMode="auto">
                    <a:xfrm>
                      <a:off x="0" y="0"/>
                      <a:ext cx="2603934" cy="1660526"/>
                    </a:xfrm>
                    <a:prstGeom prst="rect">
                      <a:avLst/>
                    </a:prstGeom>
                    <a:ln>
                      <a:noFill/>
                    </a:ln>
                    <a:extLst>
                      <a:ext uri="{53640926-AAD7-44D8-BBD7-CCE9431645EC}">
                        <a14:shadowObscured xmlns:a14="http://schemas.microsoft.com/office/drawing/2010/main"/>
                      </a:ext>
                    </a:extLst>
                  </pic:spPr>
                </pic:pic>
              </a:graphicData>
            </a:graphic>
          </wp:inline>
        </w:drawing>
      </w:r>
    </w:p>
    <w:p w:rsidR="00256108" w:rsidRPr="003263BF" w:rsidRDefault="00256108" w:rsidP="00506B68">
      <w:pPr>
        <w:pBdr>
          <w:top w:val="nil"/>
          <w:left w:val="nil"/>
          <w:bottom w:val="nil"/>
          <w:right w:val="nil"/>
          <w:between w:val="nil"/>
        </w:pBdr>
        <w:spacing w:line="276" w:lineRule="auto"/>
        <w:jc w:val="center"/>
        <w:rPr>
          <w:sz w:val="20"/>
          <w:szCs w:val="20"/>
        </w:rPr>
      </w:pPr>
      <w:r w:rsidRPr="003263BF">
        <w:rPr>
          <w:sz w:val="20"/>
          <w:szCs w:val="20"/>
        </w:rPr>
        <w:t>Fig. 7. SOEs liquidity ratio</w:t>
      </w:r>
      <w:r w:rsidR="00506B68" w:rsidRPr="003263BF">
        <w:rPr>
          <w:sz w:val="20"/>
          <w:szCs w:val="20"/>
        </w:rPr>
        <w:tab/>
      </w:r>
      <w:r w:rsidR="00506B68" w:rsidRPr="003263BF">
        <w:rPr>
          <w:sz w:val="20"/>
          <w:szCs w:val="20"/>
        </w:rPr>
        <w:tab/>
      </w:r>
      <w:r w:rsidR="00506B68" w:rsidRPr="003263BF">
        <w:rPr>
          <w:sz w:val="20"/>
          <w:szCs w:val="20"/>
        </w:rPr>
        <w:tab/>
      </w:r>
      <w:r w:rsidR="00506B68" w:rsidRPr="003263BF">
        <w:rPr>
          <w:sz w:val="20"/>
          <w:szCs w:val="20"/>
        </w:rPr>
        <w:tab/>
      </w:r>
      <w:r w:rsidR="00506B68" w:rsidRPr="003263BF">
        <w:rPr>
          <w:sz w:val="20"/>
          <w:szCs w:val="20"/>
        </w:rPr>
        <w:tab/>
      </w:r>
      <w:r w:rsidRPr="003263BF">
        <w:rPr>
          <w:sz w:val="20"/>
          <w:szCs w:val="20"/>
        </w:rPr>
        <w:t>Fig. 8. SOEs solvency ratio</w:t>
      </w:r>
    </w:p>
    <w:p w:rsidR="009F1BB5" w:rsidRDefault="009F1BB5" w:rsidP="00C740F3">
      <w:pPr>
        <w:pBdr>
          <w:top w:val="nil"/>
          <w:left w:val="nil"/>
          <w:bottom w:val="nil"/>
          <w:right w:val="nil"/>
          <w:between w:val="nil"/>
        </w:pBdr>
        <w:spacing w:line="480" w:lineRule="auto"/>
        <w:jc w:val="both"/>
      </w:pPr>
    </w:p>
    <w:p w:rsidR="00BE1A5E" w:rsidRDefault="00E834BA" w:rsidP="00C740F3">
      <w:pPr>
        <w:pBdr>
          <w:top w:val="nil"/>
          <w:left w:val="nil"/>
          <w:bottom w:val="nil"/>
          <w:right w:val="nil"/>
          <w:between w:val="nil"/>
        </w:pBdr>
        <w:spacing w:line="480" w:lineRule="auto"/>
        <w:jc w:val="both"/>
        <w:rPr>
          <w:color w:val="FF0000"/>
        </w:rPr>
      </w:pPr>
      <w:r>
        <w:lastRenderedPageBreak/>
        <w:t>Fig. 7 and Fig. 8 presents</w:t>
      </w:r>
      <w:r w:rsidR="009755DC">
        <w:t xml:space="preserve"> liquidity and</w:t>
      </w:r>
      <w:r>
        <w:t xml:space="preserve"> solvency ratios of SOEs </w:t>
      </w:r>
      <w:r w:rsidR="009C3720">
        <w:t xml:space="preserve">spanning the 17 years. </w:t>
      </w:r>
      <w:r w:rsidR="0078541C">
        <w:t xml:space="preserve">Liquidity ratio (current ratio) examines a firm’s ability to pay off its current liabilities with current assets and solvency ratio (interest coverage ratio) examines </w:t>
      </w:r>
      <w:r w:rsidR="000F01D1">
        <w:t>its</w:t>
      </w:r>
      <w:r w:rsidR="0078541C">
        <w:t xml:space="preserve"> ability to pay off the debt </w:t>
      </w:r>
      <w:r w:rsidR="008C60D2">
        <w:t xml:space="preserve">obligations </w:t>
      </w:r>
      <w:r w:rsidR="0078541C">
        <w:rPr>
          <w:rFonts w:hint="eastAsia"/>
        </w:rPr>
        <w:t>i</w:t>
      </w:r>
      <w:r w:rsidR="0078541C">
        <w:t xml:space="preserve">n the long </w:t>
      </w:r>
      <w:r w:rsidR="007327D3">
        <w:t>term</w:t>
      </w:r>
      <w:r w:rsidR="0078541C">
        <w:t>.</w:t>
      </w:r>
      <w:r w:rsidR="002D27DE">
        <w:t xml:space="preserve"> </w:t>
      </w:r>
      <w:r w:rsidR="00000536">
        <w:t xml:space="preserve">In parallel with the trend of profitability, </w:t>
      </w:r>
      <w:r w:rsidR="00394144">
        <w:t xml:space="preserve">both liquidity and solvency ratios drop 20 to 40 percent in the pre-Reform period, </w:t>
      </w:r>
      <w:r w:rsidR="004553CA">
        <w:t xml:space="preserve">indicating an increasing financial risk in SOEs. </w:t>
      </w:r>
      <w:r w:rsidR="005332C2">
        <w:t>Since 2008, the liquidity</w:t>
      </w:r>
      <w:r w:rsidR="006B71AE">
        <w:t xml:space="preserve"> </w:t>
      </w:r>
      <w:r w:rsidR="005332C2">
        <w:t>of SOEs has steadily improved over time.</w:t>
      </w:r>
      <w:r w:rsidR="006B71AE">
        <w:t xml:space="preserve"> However, the </w:t>
      </w:r>
      <w:r w:rsidR="00C8646F">
        <w:t>solvency ratio</w:t>
      </w:r>
      <w:r w:rsidR="006B71AE">
        <w:t xml:space="preserve"> of SOEs </w:t>
      </w:r>
      <w:r w:rsidR="00454C11">
        <w:t xml:space="preserve">has an overall decreasing trend with </w:t>
      </w:r>
      <w:r w:rsidR="006B71AE">
        <w:t>fluctuat</w:t>
      </w:r>
      <w:r w:rsidR="00454C11">
        <w:t>ions</w:t>
      </w:r>
      <w:r w:rsidR="006B71AE">
        <w:t xml:space="preserve"> at a lower rate in the post-Reform period</w:t>
      </w:r>
      <w:r w:rsidR="000C6EEE">
        <w:t xml:space="preserve">. </w:t>
      </w:r>
    </w:p>
    <w:p w:rsidR="001923CA" w:rsidRDefault="001923CA">
      <w:pPr>
        <w:pBdr>
          <w:top w:val="nil"/>
          <w:left w:val="nil"/>
          <w:bottom w:val="nil"/>
          <w:right w:val="nil"/>
          <w:between w:val="nil"/>
        </w:pBdr>
        <w:spacing w:line="276" w:lineRule="auto"/>
        <w:rPr>
          <w:color w:val="FF0000"/>
        </w:rPr>
      </w:pPr>
    </w:p>
    <w:p w:rsidR="001923CA" w:rsidRDefault="001923CA">
      <w:pPr>
        <w:pBdr>
          <w:top w:val="nil"/>
          <w:left w:val="nil"/>
          <w:bottom w:val="nil"/>
          <w:right w:val="nil"/>
          <w:between w:val="nil"/>
        </w:pBdr>
        <w:spacing w:line="276" w:lineRule="auto"/>
        <w:rPr>
          <w:color w:val="FF0000"/>
        </w:rPr>
      </w:pPr>
    </w:p>
    <w:p w:rsidR="001923CA" w:rsidRDefault="003040AA" w:rsidP="00053C51">
      <w:pPr>
        <w:pBdr>
          <w:top w:val="nil"/>
          <w:left w:val="nil"/>
          <w:bottom w:val="nil"/>
          <w:right w:val="nil"/>
          <w:between w:val="nil"/>
        </w:pBdr>
        <w:spacing w:line="276" w:lineRule="auto"/>
        <w:jc w:val="center"/>
        <w:rPr>
          <w:color w:val="FF0000"/>
        </w:rPr>
      </w:pPr>
      <w:r>
        <w:rPr>
          <w:noProof/>
          <w:color w:val="FF0000"/>
        </w:rPr>
        <w:drawing>
          <wp:inline distT="0" distB="0" distL="0" distR="0" wp14:anchorId="20FEFE5B" wp14:editId="7170A7EC">
            <wp:extent cx="2882265" cy="1872087"/>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png"/>
                    <pic:cNvPicPr/>
                  </pic:nvPicPr>
                  <pic:blipFill rotWithShape="1">
                    <a:blip r:embed="rId15" cstate="print">
                      <a:extLst>
                        <a:ext uri="{28A0092B-C50C-407E-A947-70E740481C1C}">
                          <a14:useLocalDpi xmlns:a14="http://schemas.microsoft.com/office/drawing/2010/main" val="0"/>
                        </a:ext>
                      </a:extLst>
                    </a:blip>
                    <a:srcRect l="1084" t="1418" r="949" b="1412"/>
                    <a:stretch/>
                  </pic:blipFill>
                  <pic:spPr bwMode="auto">
                    <a:xfrm>
                      <a:off x="0" y="0"/>
                      <a:ext cx="2951939" cy="1917342"/>
                    </a:xfrm>
                    <a:prstGeom prst="rect">
                      <a:avLst/>
                    </a:prstGeom>
                    <a:ln>
                      <a:noFill/>
                    </a:ln>
                    <a:extLst>
                      <a:ext uri="{53640926-AAD7-44D8-BBD7-CCE9431645EC}">
                        <a14:shadowObscured xmlns:a14="http://schemas.microsoft.com/office/drawing/2010/main"/>
                      </a:ext>
                    </a:extLst>
                  </pic:spPr>
                </pic:pic>
              </a:graphicData>
            </a:graphic>
          </wp:inline>
        </w:drawing>
      </w:r>
      <w:r w:rsidR="006D7ACF">
        <w:rPr>
          <w:color w:val="FF0000"/>
        </w:rPr>
        <w:tab/>
      </w:r>
      <w:r w:rsidR="006D7ACF">
        <w:rPr>
          <w:color w:val="FF0000"/>
        </w:rPr>
        <w:tab/>
      </w:r>
      <w:r w:rsidR="00910471">
        <w:rPr>
          <w:noProof/>
          <w:color w:val="FF0000"/>
        </w:rPr>
        <w:drawing>
          <wp:inline distT="0" distB="0" distL="0" distR="0">
            <wp:extent cx="2900864" cy="1901343"/>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png"/>
                    <pic:cNvPicPr/>
                  </pic:nvPicPr>
                  <pic:blipFill rotWithShape="1">
                    <a:blip r:embed="rId16" cstate="print">
                      <a:extLst>
                        <a:ext uri="{28A0092B-C50C-407E-A947-70E740481C1C}">
                          <a14:useLocalDpi xmlns:a14="http://schemas.microsoft.com/office/drawing/2010/main" val="0"/>
                        </a:ext>
                      </a:extLst>
                    </a:blip>
                    <a:srcRect l="1254" t="1892" r="1951" b="2370"/>
                    <a:stretch/>
                  </pic:blipFill>
                  <pic:spPr bwMode="auto">
                    <a:xfrm>
                      <a:off x="0" y="0"/>
                      <a:ext cx="2934639" cy="1923481"/>
                    </a:xfrm>
                    <a:prstGeom prst="rect">
                      <a:avLst/>
                    </a:prstGeom>
                    <a:ln>
                      <a:noFill/>
                    </a:ln>
                    <a:extLst>
                      <a:ext uri="{53640926-AAD7-44D8-BBD7-CCE9431645EC}">
                        <a14:shadowObscured xmlns:a14="http://schemas.microsoft.com/office/drawing/2010/main"/>
                      </a:ext>
                    </a:extLst>
                  </pic:spPr>
                </pic:pic>
              </a:graphicData>
            </a:graphic>
          </wp:inline>
        </w:drawing>
      </w:r>
    </w:p>
    <w:p w:rsidR="001923CA" w:rsidRDefault="001923CA">
      <w:pPr>
        <w:pBdr>
          <w:top w:val="nil"/>
          <w:left w:val="nil"/>
          <w:bottom w:val="nil"/>
          <w:right w:val="nil"/>
          <w:between w:val="nil"/>
        </w:pBdr>
        <w:spacing w:line="276" w:lineRule="auto"/>
        <w:rPr>
          <w:color w:val="FF0000"/>
        </w:rPr>
      </w:pPr>
    </w:p>
    <w:p w:rsidR="001923CA" w:rsidRDefault="00053C51" w:rsidP="00C740F3">
      <w:pPr>
        <w:pBdr>
          <w:top w:val="nil"/>
          <w:left w:val="nil"/>
          <w:bottom w:val="nil"/>
          <w:right w:val="nil"/>
          <w:between w:val="nil"/>
        </w:pBdr>
        <w:spacing w:line="480" w:lineRule="auto"/>
        <w:jc w:val="both"/>
        <w:rPr>
          <w:sz w:val="20"/>
          <w:szCs w:val="20"/>
        </w:rPr>
      </w:pPr>
      <w:r w:rsidRPr="003C7345">
        <w:rPr>
          <w:sz w:val="20"/>
          <w:szCs w:val="20"/>
        </w:rPr>
        <w:t xml:space="preserve">Fig. 9. </w:t>
      </w:r>
      <w:r w:rsidR="003C7345" w:rsidRPr="003C7345">
        <w:rPr>
          <w:sz w:val="20"/>
          <w:szCs w:val="20"/>
        </w:rPr>
        <w:t>Growth rate of leverage, profitability and solvency ratio</w:t>
      </w:r>
      <w:r w:rsidR="003C7345">
        <w:rPr>
          <w:sz w:val="20"/>
          <w:szCs w:val="20"/>
        </w:rPr>
        <w:tab/>
        <w:t xml:space="preserve">Fig. 10. Growth rate of total assets, liabilities and leverage </w:t>
      </w:r>
    </w:p>
    <w:p w:rsidR="003C7345" w:rsidRDefault="003C7345" w:rsidP="00C740F3">
      <w:pPr>
        <w:pBdr>
          <w:top w:val="nil"/>
          <w:left w:val="nil"/>
          <w:bottom w:val="nil"/>
          <w:right w:val="nil"/>
          <w:between w:val="nil"/>
        </w:pBdr>
        <w:spacing w:line="480" w:lineRule="auto"/>
        <w:jc w:val="both"/>
        <w:rPr>
          <w:sz w:val="20"/>
          <w:szCs w:val="20"/>
        </w:rPr>
      </w:pPr>
    </w:p>
    <w:p w:rsidR="00BF78A9" w:rsidRDefault="00540F9A" w:rsidP="00C740F3">
      <w:pPr>
        <w:pBdr>
          <w:top w:val="nil"/>
          <w:left w:val="nil"/>
          <w:bottom w:val="nil"/>
          <w:right w:val="nil"/>
          <w:between w:val="nil"/>
        </w:pBdr>
        <w:spacing w:line="480" w:lineRule="auto"/>
        <w:jc w:val="both"/>
      </w:pPr>
      <w:r w:rsidRPr="006C1F48">
        <w:t>Fig. 9 and Fig. 10 illustrate the logarithm growth rate of</w:t>
      </w:r>
      <w:r w:rsidR="00E57901" w:rsidRPr="006C1F48">
        <w:t xml:space="preserve"> </w:t>
      </w:r>
      <w:r w:rsidRPr="006C1F48">
        <w:t xml:space="preserve">important financial indicators </w:t>
      </w:r>
      <w:r w:rsidR="00E57901" w:rsidRPr="006C1F48">
        <w:t xml:space="preserve">of SOEs using the </w:t>
      </w:r>
      <w:r w:rsidRPr="006C1F48">
        <w:t>base</w:t>
      </w:r>
      <w:r w:rsidR="00E57901" w:rsidRPr="006C1F48">
        <w:t xml:space="preserve"> year</w:t>
      </w:r>
      <w:r w:rsidRPr="006C1F48">
        <w:t xml:space="preserve"> 2000.</w:t>
      </w:r>
      <w:r w:rsidR="006C1F48">
        <w:t xml:space="preserve"> </w:t>
      </w:r>
      <w:r w:rsidR="00E57901">
        <w:t>Fig. 9</w:t>
      </w:r>
      <w:r w:rsidR="00604227">
        <w:t xml:space="preserve"> shows that </w:t>
      </w:r>
      <w:r w:rsidR="00E57901">
        <w:t>the leverage</w:t>
      </w:r>
      <w:r w:rsidR="00604227">
        <w:t xml:space="preserve"> ratio </w:t>
      </w:r>
      <w:r w:rsidR="00E57901">
        <w:t>continues to have</w:t>
      </w:r>
      <w:r w:rsidR="00604227">
        <w:t xml:space="preserve"> positive growth rate with </w:t>
      </w:r>
      <w:r w:rsidR="00604227" w:rsidRPr="00BD756F">
        <w:t>decreasing margin</w:t>
      </w:r>
      <w:r w:rsidR="00E57901">
        <w:t xml:space="preserve"> over the 17 years</w:t>
      </w:r>
      <w:r w:rsidR="00EC2D14">
        <w:t xml:space="preserve"> while </w:t>
      </w:r>
      <w:r w:rsidR="00E352AA">
        <w:t>profitability</w:t>
      </w:r>
      <w:r w:rsidR="00604227">
        <w:t xml:space="preserve"> and </w:t>
      </w:r>
      <w:r w:rsidR="00E352AA">
        <w:t xml:space="preserve">solvency </w:t>
      </w:r>
      <w:r w:rsidR="00604227">
        <w:t xml:space="preserve">ratio all have negative growth rate. </w:t>
      </w:r>
      <w:r w:rsidR="006C1F48">
        <w:t>The increase of debt in SOEs has not been compensated by the s</w:t>
      </w:r>
      <w:r w:rsidR="00D51BAF">
        <w:t>imilar</w:t>
      </w:r>
      <w:r w:rsidR="006C1F48">
        <w:t xml:space="preserve"> amount of growth in profitability and solvency ability</w:t>
      </w:r>
      <w:r w:rsidR="00B83A85">
        <w:t xml:space="preserve"> but rather accompanying a </w:t>
      </w:r>
      <w:r w:rsidR="00384D30">
        <w:t xml:space="preserve">general </w:t>
      </w:r>
      <w:r w:rsidR="00B83A85">
        <w:t>decline in profitability and solvency</w:t>
      </w:r>
      <w:r w:rsidR="006C1F48">
        <w:t>.</w:t>
      </w:r>
      <w:r w:rsidR="00D51BAF">
        <w:t xml:space="preserve"> </w:t>
      </w:r>
      <w:r w:rsidR="003C69A2">
        <w:t xml:space="preserve">This indicates </w:t>
      </w:r>
      <w:r w:rsidR="008234A0">
        <w:t xml:space="preserve">an </w:t>
      </w:r>
      <w:r w:rsidR="00B41FC9">
        <w:t xml:space="preserve">increasing </w:t>
      </w:r>
      <w:r w:rsidR="008234A0">
        <w:t>risk</w:t>
      </w:r>
      <w:r w:rsidR="003C69A2">
        <w:t xml:space="preserve"> </w:t>
      </w:r>
      <w:r w:rsidR="0080148C">
        <w:t>of</w:t>
      </w:r>
      <w:r w:rsidR="003C69A2">
        <w:t xml:space="preserve"> SOEs</w:t>
      </w:r>
      <w:r w:rsidR="00DB4522">
        <w:t>’</w:t>
      </w:r>
      <w:r w:rsidR="00EB5683">
        <w:t xml:space="preserve"> not meeting </w:t>
      </w:r>
      <w:r w:rsidR="00493CE9">
        <w:t xml:space="preserve">their </w:t>
      </w:r>
      <w:r w:rsidR="00EB5683">
        <w:t>financial obligations</w:t>
      </w:r>
      <w:r w:rsidR="003C69A2">
        <w:t>.</w:t>
      </w:r>
      <w:r w:rsidR="003D2918">
        <w:t xml:space="preserve"> </w:t>
      </w:r>
      <w:r w:rsidR="0054440C">
        <w:t xml:space="preserve">To further investigate the </w:t>
      </w:r>
      <w:r w:rsidR="002D10C7">
        <w:t xml:space="preserve">two </w:t>
      </w:r>
      <w:r w:rsidR="0054440C">
        <w:t xml:space="preserve">determinants of </w:t>
      </w:r>
      <w:r w:rsidR="0014184D">
        <w:t xml:space="preserve">the </w:t>
      </w:r>
      <w:r w:rsidR="0054440C">
        <w:t>leverage</w:t>
      </w:r>
      <w:r w:rsidR="002D10C7">
        <w:t xml:space="preserve"> ratio</w:t>
      </w:r>
      <w:r w:rsidR="0054440C">
        <w:t xml:space="preserve">, Fig. 10 presents the growth rate of </w:t>
      </w:r>
      <w:r w:rsidR="002D10C7">
        <w:t>total assets (denominator) and total liabilities (numerator).</w:t>
      </w:r>
      <w:r w:rsidR="003E4D36">
        <w:t xml:space="preserve"> </w:t>
      </w:r>
      <w:r w:rsidR="00BD3311">
        <w:t xml:space="preserve">The overall growth rate of total liabilities is 5 to 10 percent higher than the growth rate of total assets </w:t>
      </w:r>
      <w:r w:rsidR="002253FE">
        <w:t>resulting the increase of leverage</w:t>
      </w:r>
      <w:r w:rsidR="004E730D">
        <w:t xml:space="preserve"> over time</w:t>
      </w:r>
      <w:r w:rsidR="002253FE">
        <w:t xml:space="preserve">. </w:t>
      </w:r>
      <w:r w:rsidR="002D3F44">
        <w:t xml:space="preserve">The notable drop of the growth rate in 2007 is due to the non-tradable share reform explained before that a large number of SOEs go public in 2007. </w:t>
      </w:r>
      <w:r w:rsidR="009815C2">
        <w:t>It causes a sudden increase of sample size in 2007</w:t>
      </w:r>
      <w:r w:rsidR="00D24331">
        <w:t xml:space="preserve"> that</w:t>
      </w:r>
      <w:r w:rsidR="009815C2">
        <w:t xml:space="preserve"> the data of firms with relatively smaller size and liabilities becomes available.</w:t>
      </w:r>
    </w:p>
    <w:p w:rsidR="00BF78A9" w:rsidRDefault="00BF78A9" w:rsidP="00C740F3">
      <w:pPr>
        <w:pBdr>
          <w:top w:val="nil"/>
          <w:left w:val="nil"/>
          <w:bottom w:val="nil"/>
          <w:right w:val="nil"/>
          <w:between w:val="nil"/>
        </w:pBdr>
        <w:spacing w:line="480" w:lineRule="auto"/>
        <w:jc w:val="both"/>
      </w:pPr>
    </w:p>
    <w:p w:rsidR="006426C0" w:rsidRDefault="006426C0" w:rsidP="00C740F3">
      <w:pPr>
        <w:pBdr>
          <w:top w:val="nil"/>
          <w:left w:val="nil"/>
          <w:bottom w:val="nil"/>
          <w:right w:val="nil"/>
          <w:between w:val="nil"/>
        </w:pBdr>
        <w:spacing w:line="480" w:lineRule="auto"/>
        <w:jc w:val="both"/>
        <w:rPr>
          <w:i/>
        </w:rPr>
      </w:pPr>
      <w:r w:rsidRPr="006426C0">
        <w:rPr>
          <w:i/>
        </w:rPr>
        <w:lastRenderedPageBreak/>
        <w:t>Industry Trends</w:t>
      </w:r>
    </w:p>
    <w:p w:rsidR="00B07A10" w:rsidRDefault="00B07A10" w:rsidP="00C740F3">
      <w:pPr>
        <w:pBdr>
          <w:top w:val="nil"/>
          <w:left w:val="nil"/>
          <w:bottom w:val="nil"/>
          <w:right w:val="nil"/>
          <w:between w:val="nil"/>
        </w:pBdr>
        <w:spacing w:line="480" w:lineRule="auto"/>
        <w:jc w:val="both"/>
        <w:rPr>
          <w:i/>
        </w:rPr>
      </w:pPr>
    </w:p>
    <w:p w:rsidR="00B07A10" w:rsidRPr="00F17745" w:rsidRDefault="00B07A10" w:rsidP="00C740F3">
      <w:pPr>
        <w:pBdr>
          <w:top w:val="nil"/>
          <w:left w:val="nil"/>
          <w:bottom w:val="nil"/>
          <w:right w:val="nil"/>
          <w:between w:val="nil"/>
        </w:pBdr>
        <w:spacing w:line="480" w:lineRule="auto"/>
        <w:jc w:val="both"/>
      </w:pPr>
      <w:r w:rsidRPr="00B07A10">
        <w:t xml:space="preserve">As is widely known, </w:t>
      </w:r>
      <w:r w:rsidR="003A33D8">
        <w:t xml:space="preserve">the leverage ratio varies a lot across different industries. </w:t>
      </w:r>
      <w:r w:rsidR="000600F6">
        <w:t xml:space="preserve">Firms usually decide their capital structure according to </w:t>
      </w:r>
      <w:bookmarkStart w:id="55" w:name="OLE_LINK22"/>
      <w:bookmarkStart w:id="56" w:name="OLE_LINK23"/>
      <w:r w:rsidR="000600F6">
        <w:t xml:space="preserve">the median leverage ratio in the </w:t>
      </w:r>
      <w:r w:rsidR="000600F6" w:rsidRPr="00980924">
        <w:t xml:space="preserve">industry (Hull, </w:t>
      </w:r>
      <w:bookmarkEnd w:id="55"/>
      <w:bookmarkEnd w:id="56"/>
      <w:r w:rsidR="00A13838" w:rsidRPr="00980924">
        <w:t>1999</w:t>
      </w:r>
      <w:r w:rsidR="000600F6" w:rsidRPr="00980924">
        <w:t>).</w:t>
      </w:r>
      <w:r w:rsidR="00F17745" w:rsidRPr="00980924">
        <w:t xml:space="preserve"> </w:t>
      </w:r>
      <w:r w:rsidR="00F17745">
        <w:t>Although the aggregate median leverage</w:t>
      </w:r>
      <w:r w:rsidR="000D4B9C">
        <w:t xml:space="preserve"> </w:t>
      </w:r>
      <w:r w:rsidR="008A4CD6">
        <w:t xml:space="preserve">of SOEs </w:t>
      </w:r>
      <w:r w:rsidR="000D4B9C">
        <w:t>grows steadily before the reform and stays</w:t>
      </w:r>
      <w:r w:rsidR="007C4D18">
        <w:t xml:space="preserve"> relatively</w:t>
      </w:r>
      <w:r w:rsidR="000D4B9C">
        <w:t xml:space="preserve"> flat after the reform,</w:t>
      </w:r>
      <w:r w:rsidR="00F17745">
        <w:t xml:space="preserve"> the variation across industry is significant</w:t>
      </w:r>
      <w:r w:rsidR="008A4CD6">
        <w:t xml:space="preserve">. </w:t>
      </w:r>
      <w:r w:rsidR="00F94065">
        <w:t xml:space="preserve">Some industries, especially real estate, experienced substantial growth for more than 10 years. </w:t>
      </w:r>
    </w:p>
    <w:p w:rsidR="006D7ACF" w:rsidRDefault="006D7ACF">
      <w:pPr>
        <w:pBdr>
          <w:top w:val="nil"/>
          <w:left w:val="nil"/>
          <w:bottom w:val="nil"/>
          <w:right w:val="nil"/>
          <w:between w:val="nil"/>
        </w:pBdr>
        <w:spacing w:line="276" w:lineRule="auto"/>
        <w:rPr>
          <w:i/>
        </w:rPr>
      </w:pPr>
    </w:p>
    <w:p w:rsidR="006D7ACF" w:rsidRPr="006D7ACF" w:rsidRDefault="000A320A">
      <w:pPr>
        <w:pBdr>
          <w:top w:val="nil"/>
          <w:left w:val="nil"/>
          <w:bottom w:val="nil"/>
          <w:right w:val="nil"/>
          <w:between w:val="nil"/>
        </w:pBdr>
        <w:spacing w:line="276" w:lineRule="auto"/>
      </w:pPr>
      <w:r>
        <w:tab/>
      </w:r>
      <w:r>
        <w:tab/>
      </w:r>
    </w:p>
    <w:p w:rsidR="00EE22A5" w:rsidRDefault="00CE37F9" w:rsidP="00CE37F9">
      <w:pPr>
        <w:pBdr>
          <w:top w:val="nil"/>
          <w:left w:val="nil"/>
          <w:bottom w:val="nil"/>
          <w:right w:val="nil"/>
          <w:between w:val="nil"/>
        </w:pBdr>
        <w:spacing w:line="276" w:lineRule="auto"/>
        <w:jc w:val="center"/>
        <w:rPr>
          <w:i/>
          <w:noProof/>
        </w:rPr>
      </w:pPr>
      <w:r>
        <w:rPr>
          <w:i/>
          <w:noProof/>
        </w:rPr>
        <w:drawing>
          <wp:inline distT="0" distB="0" distL="0" distR="0" wp14:anchorId="364ADB9C" wp14:editId="70D7AFF5">
            <wp:extent cx="2870835" cy="15369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nu.png"/>
                    <pic:cNvPicPr/>
                  </pic:nvPicPr>
                  <pic:blipFill rotWithShape="1">
                    <a:blip r:embed="rId17" cstate="print">
                      <a:extLst>
                        <a:ext uri="{28A0092B-C50C-407E-A947-70E740481C1C}">
                          <a14:useLocalDpi xmlns:a14="http://schemas.microsoft.com/office/drawing/2010/main" val="0"/>
                        </a:ext>
                      </a:extLst>
                    </a:blip>
                    <a:srcRect l="1895" t="2424" r="1090" b="2605"/>
                    <a:stretch/>
                  </pic:blipFill>
                  <pic:spPr bwMode="auto">
                    <a:xfrm>
                      <a:off x="0" y="0"/>
                      <a:ext cx="2938067" cy="1572894"/>
                    </a:xfrm>
                    <a:prstGeom prst="rect">
                      <a:avLst/>
                    </a:prstGeom>
                    <a:ln>
                      <a:noFill/>
                    </a:ln>
                    <a:extLst>
                      <a:ext uri="{53640926-AAD7-44D8-BBD7-CCE9431645EC}">
                        <a14:shadowObscured xmlns:a14="http://schemas.microsoft.com/office/drawing/2010/main"/>
                      </a:ext>
                    </a:extLst>
                  </pic:spPr>
                </pic:pic>
              </a:graphicData>
            </a:graphic>
          </wp:inline>
        </w:drawing>
      </w:r>
      <w:r>
        <w:rPr>
          <w:i/>
          <w:noProof/>
        </w:rPr>
        <w:t xml:space="preserve"> </w:t>
      </w:r>
      <w:r>
        <w:rPr>
          <w:i/>
          <w:noProof/>
        </w:rPr>
        <w:tab/>
      </w:r>
      <w:r>
        <w:rPr>
          <w:i/>
          <w:noProof/>
        </w:rPr>
        <w:tab/>
      </w:r>
      <w:r>
        <w:rPr>
          <w:i/>
          <w:noProof/>
        </w:rPr>
        <w:drawing>
          <wp:inline distT="0" distB="0" distL="0" distR="0" wp14:anchorId="1A3CE877" wp14:editId="2DAEE89C">
            <wp:extent cx="2877835" cy="1580923"/>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ns.png"/>
                    <pic:cNvPicPr/>
                  </pic:nvPicPr>
                  <pic:blipFill rotWithShape="1">
                    <a:blip r:embed="rId18" cstate="print">
                      <a:extLst>
                        <a:ext uri="{28A0092B-C50C-407E-A947-70E740481C1C}">
                          <a14:useLocalDpi xmlns:a14="http://schemas.microsoft.com/office/drawing/2010/main" val="0"/>
                        </a:ext>
                      </a:extLst>
                    </a:blip>
                    <a:srcRect l="965" t="2057" r="1051" b="2222"/>
                    <a:stretch/>
                  </pic:blipFill>
                  <pic:spPr bwMode="auto">
                    <a:xfrm>
                      <a:off x="0" y="0"/>
                      <a:ext cx="2972978" cy="1633189"/>
                    </a:xfrm>
                    <a:prstGeom prst="rect">
                      <a:avLst/>
                    </a:prstGeom>
                    <a:ln>
                      <a:noFill/>
                    </a:ln>
                    <a:extLst>
                      <a:ext uri="{53640926-AAD7-44D8-BBD7-CCE9431645EC}">
                        <a14:shadowObscured xmlns:a14="http://schemas.microsoft.com/office/drawing/2010/main"/>
                      </a:ext>
                    </a:extLst>
                  </pic:spPr>
                </pic:pic>
              </a:graphicData>
            </a:graphic>
          </wp:inline>
        </w:drawing>
      </w:r>
      <w:r>
        <w:rPr>
          <w:i/>
          <w:noProof/>
        </w:rPr>
        <w:t xml:space="preserve"> </w:t>
      </w:r>
    </w:p>
    <w:p w:rsidR="00EE22A5" w:rsidRDefault="00EE22A5" w:rsidP="00CE37F9">
      <w:pPr>
        <w:pBdr>
          <w:top w:val="nil"/>
          <w:left w:val="nil"/>
          <w:bottom w:val="nil"/>
          <w:right w:val="nil"/>
          <w:between w:val="nil"/>
        </w:pBdr>
        <w:spacing w:line="276" w:lineRule="auto"/>
        <w:jc w:val="center"/>
        <w:rPr>
          <w:i/>
          <w:noProof/>
        </w:rPr>
      </w:pPr>
    </w:p>
    <w:p w:rsidR="009C6650" w:rsidRDefault="009C6650" w:rsidP="00C351A4">
      <w:pPr>
        <w:pBdr>
          <w:top w:val="nil"/>
          <w:left w:val="nil"/>
          <w:bottom w:val="nil"/>
          <w:right w:val="nil"/>
          <w:between w:val="nil"/>
        </w:pBdr>
        <w:spacing w:line="276" w:lineRule="auto"/>
        <w:jc w:val="center"/>
        <w:rPr>
          <w:i/>
        </w:rPr>
      </w:pPr>
      <w:r>
        <w:rPr>
          <w:i/>
          <w:noProof/>
        </w:rPr>
        <w:drawing>
          <wp:inline distT="0" distB="0" distL="0" distR="0">
            <wp:extent cx="2875948" cy="1564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ales.png"/>
                    <pic:cNvPicPr/>
                  </pic:nvPicPr>
                  <pic:blipFill rotWithShape="1">
                    <a:blip r:embed="rId19" cstate="print">
                      <a:extLst>
                        <a:ext uri="{28A0092B-C50C-407E-A947-70E740481C1C}">
                          <a14:useLocalDpi xmlns:a14="http://schemas.microsoft.com/office/drawing/2010/main" val="0"/>
                        </a:ext>
                      </a:extLst>
                    </a:blip>
                    <a:srcRect l="1664" t="2247" r="1163" b="2550"/>
                    <a:stretch/>
                  </pic:blipFill>
                  <pic:spPr bwMode="auto">
                    <a:xfrm>
                      <a:off x="0" y="0"/>
                      <a:ext cx="2914738" cy="1585652"/>
                    </a:xfrm>
                    <a:prstGeom prst="rect">
                      <a:avLst/>
                    </a:prstGeom>
                    <a:ln>
                      <a:noFill/>
                    </a:ln>
                    <a:extLst>
                      <a:ext uri="{53640926-AAD7-44D8-BBD7-CCE9431645EC}">
                        <a14:shadowObscured xmlns:a14="http://schemas.microsoft.com/office/drawing/2010/main"/>
                      </a:ext>
                    </a:extLst>
                  </pic:spPr>
                </pic:pic>
              </a:graphicData>
            </a:graphic>
          </wp:inline>
        </w:drawing>
      </w:r>
      <w:r w:rsidR="00C351A4">
        <w:rPr>
          <w:i/>
        </w:rPr>
        <w:tab/>
      </w:r>
      <w:r w:rsidR="00C351A4">
        <w:rPr>
          <w:i/>
        </w:rPr>
        <w:tab/>
      </w:r>
      <w:r w:rsidR="00C351A4">
        <w:rPr>
          <w:i/>
          <w:noProof/>
        </w:rPr>
        <w:drawing>
          <wp:inline distT="0" distB="0" distL="0" distR="0" wp14:anchorId="7CA77DEF" wp14:editId="409747BD">
            <wp:extent cx="2881583" cy="1575864"/>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T.png"/>
                    <pic:cNvPicPr/>
                  </pic:nvPicPr>
                  <pic:blipFill rotWithShape="1">
                    <a:blip r:embed="rId20" cstate="print">
                      <a:extLst>
                        <a:ext uri="{28A0092B-C50C-407E-A947-70E740481C1C}">
                          <a14:useLocalDpi xmlns:a14="http://schemas.microsoft.com/office/drawing/2010/main" val="0"/>
                        </a:ext>
                      </a:extLst>
                    </a:blip>
                    <a:srcRect l="1166" t="2424" r="1063" b="2296"/>
                    <a:stretch/>
                  </pic:blipFill>
                  <pic:spPr bwMode="auto">
                    <a:xfrm>
                      <a:off x="0" y="0"/>
                      <a:ext cx="2943484" cy="1609716"/>
                    </a:xfrm>
                    <a:prstGeom prst="rect">
                      <a:avLst/>
                    </a:prstGeom>
                    <a:ln>
                      <a:noFill/>
                    </a:ln>
                    <a:extLst>
                      <a:ext uri="{53640926-AAD7-44D8-BBD7-CCE9431645EC}">
                        <a14:shadowObscured xmlns:a14="http://schemas.microsoft.com/office/drawing/2010/main"/>
                      </a:ext>
                    </a:extLst>
                  </pic:spPr>
                </pic:pic>
              </a:graphicData>
            </a:graphic>
          </wp:inline>
        </w:drawing>
      </w:r>
    </w:p>
    <w:p w:rsidR="00E54C3F" w:rsidRDefault="00E54C3F">
      <w:pPr>
        <w:pBdr>
          <w:top w:val="nil"/>
          <w:left w:val="nil"/>
          <w:bottom w:val="nil"/>
          <w:right w:val="nil"/>
          <w:between w:val="nil"/>
        </w:pBdr>
        <w:spacing w:line="276" w:lineRule="auto"/>
      </w:pPr>
    </w:p>
    <w:p w:rsidR="00CE37F9" w:rsidRDefault="00CE37F9" w:rsidP="00B73A70">
      <w:pPr>
        <w:pBdr>
          <w:top w:val="nil"/>
          <w:left w:val="nil"/>
          <w:bottom w:val="nil"/>
          <w:right w:val="nil"/>
          <w:between w:val="nil"/>
        </w:pBdr>
        <w:spacing w:line="480" w:lineRule="auto"/>
        <w:jc w:val="both"/>
        <w:rPr>
          <w:sz w:val="20"/>
          <w:szCs w:val="20"/>
        </w:rPr>
      </w:pPr>
      <w:r w:rsidRPr="00EE22A5">
        <w:rPr>
          <w:sz w:val="20"/>
          <w:szCs w:val="20"/>
        </w:rPr>
        <w:t>Fig. 11. SOE</w:t>
      </w:r>
      <w:r w:rsidR="00EE22A5">
        <w:rPr>
          <w:sz w:val="20"/>
          <w:szCs w:val="20"/>
        </w:rPr>
        <w:t>s m</w:t>
      </w:r>
      <w:r w:rsidRPr="00EE22A5">
        <w:rPr>
          <w:sz w:val="20"/>
          <w:szCs w:val="20"/>
        </w:rPr>
        <w:t>edian leverage</w:t>
      </w:r>
      <w:r w:rsidR="00EE22A5">
        <w:rPr>
          <w:sz w:val="20"/>
          <w:szCs w:val="20"/>
        </w:rPr>
        <w:t xml:space="preserve"> </w:t>
      </w:r>
      <w:r w:rsidRPr="00EE22A5">
        <w:rPr>
          <w:sz w:val="20"/>
          <w:szCs w:val="20"/>
        </w:rPr>
        <w:t xml:space="preserve">and </w:t>
      </w:r>
      <w:r w:rsidR="00EE22A5">
        <w:rPr>
          <w:sz w:val="20"/>
          <w:szCs w:val="20"/>
        </w:rPr>
        <w:t>profitability</w:t>
      </w:r>
      <w:r w:rsidRPr="00EE22A5">
        <w:rPr>
          <w:sz w:val="20"/>
          <w:szCs w:val="20"/>
        </w:rPr>
        <w:t xml:space="preserve"> in </w:t>
      </w:r>
      <w:r w:rsidR="00EE22A5" w:rsidRPr="00EE22A5">
        <w:rPr>
          <w:sz w:val="20"/>
          <w:szCs w:val="20"/>
        </w:rPr>
        <w:t>manufacturing, construction, information technology and real estate industries.</w:t>
      </w:r>
    </w:p>
    <w:p w:rsidR="00237B01" w:rsidRDefault="00237B01" w:rsidP="00B73A70">
      <w:pPr>
        <w:pBdr>
          <w:top w:val="nil"/>
          <w:left w:val="nil"/>
          <w:bottom w:val="nil"/>
          <w:right w:val="nil"/>
          <w:between w:val="nil"/>
        </w:pBdr>
        <w:spacing w:line="480" w:lineRule="auto"/>
        <w:jc w:val="both"/>
        <w:rPr>
          <w:sz w:val="20"/>
          <w:szCs w:val="20"/>
        </w:rPr>
      </w:pPr>
    </w:p>
    <w:p w:rsidR="00420590" w:rsidRDefault="000115F1" w:rsidP="00B73A70">
      <w:pPr>
        <w:pBdr>
          <w:top w:val="nil"/>
          <w:left w:val="nil"/>
          <w:bottom w:val="nil"/>
          <w:right w:val="nil"/>
          <w:between w:val="nil"/>
        </w:pBdr>
        <w:spacing w:line="480" w:lineRule="auto"/>
        <w:jc w:val="both"/>
        <w:rPr>
          <w:sz w:val="20"/>
          <w:szCs w:val="20"/>
        </w:rPr>
      </w:pPr>
      <w:r>
        <w:t xml:space="preserve">The leverage and profitability of firms in manufacturing industry have similar trends as the aggregate median ratio given the fact that manufacturing firms take up half of the sample. </w:t>
      </w:r>
      <w:r w:rsidR="007C4D18">
        <w:t xml:space="preserve">The leverage </w:t>
      </w:r>
      <w:r w:rsidR="0054664A">
        <w:t>of manufacturing sector largely stays flat and fluctuates around 50 percent</w:t>
      </w:r>
      <w:r w:rsidR="002F1D38">
        <w:t xml:space="preserve">. The profitability shrinks 50 percent in the pre-Reform period and stays flat afterwards. </w:t>
      </w:r>
      <w:r w:rsidR="00C351A4">
        <w:t>Construction and real estate are two</w:t>
      </w:r>
      <w:r w:rsidR="00BB6ADD">
        <w:t xml:space="preserve"> most</w:t>
      </w:r>
      <w:r w:rsidR="00C351A4">
        <w:t xml:space="preserve"> highly leveraged industries. </w:t>
      </w:r>
      <w:bookmarkStart w:id="57" w:name="OLE_LINK58"/>
      <w:bookmarkStart w:id="58" w:name="OLE_LINK59"/>
      <w:r w:rsidR="00556415">
        <w:t xml:space="preserve">Before the 2005 reform, median leverage in construction industry peaks at 95 percent, which implies that almost all assets in the industry are in the form of liabilities. </w:t>
      </w:r>
      <w:bookmarkEnd w:id="57"/>
      <w:bookmarkEnd w:id="58"/>
      <w:r w:rsidR="006A32B3">
        <w:t>The industry deleverages to around 75 percent after the reform.</w:t>
      </w:r>
      <w:r w:rsidR="001A0A2E">
        <w:t xml:space="preserve"> </w:t>
      </w:r>
      <w:r w:rsidR="001A0A2E">
        <w:rPr>
          <w:rFonts w:hint="eastAsia"/>
        </w:rPr>
        <w:t>P</w:t>
      </w:r>
      <w:r w:rsidR="00AB6B73">
        <w:t xml:space="preserve">rofitability of the industry follows </w:t>
      </w:r>
      <w:r w:rsidR="005A208B">
        <w:t>a</w:t>
      </w:r>
      <w:r w:rsidR="00AB6B73">
        <w:t xml:space="preserve"> similar path as </w:t>
      </w:r>
      <w:r w:rsidR="001A0A2E">
        <w:t xml:space="preserve">that of </w:t>
      </w:r>
      <w:r w:rsidR="005A208B">
        <w:t xml:space="preserve">the </w:t>
      </w:r>
      <w:r w:rsidR="00AB6B73">
        <w:t>manufacturing</w:t>
      </w:r>
      <w:r w:rsidR="000D4A7E">
        <w:t xml:space="preserve"> industry</w:t>
      </w:r>
      <w:r w:rsidR="00AB6B73">
        <w:t>.</w:t>
      </w:r>
      <w:r w:rsidR="000D4A7E">
        <w:t xml:space="preserve"> </w:t>
      </w:r>
      <w:bookmarkStart w:id="59" w:name="OLE_LINK60"/>
      <w:bookmarkStart w:id="60" w:name="OLE_LINK61"/>
      <w:r w:rsidR="002617C1">
        <w:t xml:space="preserve">Real estate </w:t>
      </w:r>
      <w:r w:rsidR="002617C1">
        <w:lastRenderedPageBreak/>
        <w:t xml:space="preserve">industry is the main driver behind the </w:t>
      </w:r>
      <w:r w:rsidR="00855A7B">
        <w:t>increasing debt pile in SOEs.</w:t>
      </w:r>
      <w:r w:rsidR="00646F37">
        <w:t xml:space="preserve"> </w:t>
      </w:r>
      <w:bookmarkEnd w:id="59"/>
      <w:bookmarkEnd w:id="60"/>
      <w:r w:rsidR="00646F37">
        <w:t xml:space="preserve">As is shown in the third graph of Fig. 11, </w:t>
      </w:r>
      <w:bookmarkStart w:id="61" w:name="OLE_LINK62"/>
      <w:bookmarkStart w:id="62" w:name="OLE_LINK63"/>
      <w:r w:rsidR="00646F37">
        <w:t>the leverage ratio in real estate industry remarkably increases from 20 percent to over 70 percent</w:t>
      </w:r>
      <w:bookmarkEnd w:id="61"/>
      <w:bookmarkEnd w:id="62"/>
      <w:r w:rsidR="00646F37">
        <w:t xml:space="preserve">. </w:t>
      </w:r>
      <w:r w:rsidR="00A50981">
        <w:t xml:space="preserve">The significant growth marks the real estate from a health, lightly leveraged industry </w:t>
      </w:r>
      <w:r w:rsidR="002E4151">
        <w:t xml:space="preserve">to a risky, highly leveraged industry. </w:t>
      </w:r>
      <w:r w:rsidR="00076009">
        <w:t xml:space="preserve">Even though the median profitability of the industry experiences a similar growth between 2007 and 2011, </w:t>
      </w:r>
      <w:r w:rsidR="0065018F">
        <w:t>the overall operating margin stays around 17 percent. With the same level of operating performance but 4-times of the leverage than 2000,</w:t>
      </w:r>
      <w:r w:rsidR="00AA6FE3">
        <w:t xml:space="preserve"> the real estate sector faces a dramatic increase of financial vulnerabilities. </w:t>
      </w:r>
      <w:r w:rsidR="000D4038">
        <w:t xml:space="preserve">Contrarily, information technology sector has </w:t>
      </w:r>
      <w:r w:rsidR="00F270D7">
        <w:t xml:space="preserve">the </w:t>
      </w:r>
      <w:r w:rsidR="000D4038">
        <w:t>leverage</w:t>
      </w:r>
      <w:r w:rsidR="00F270D7">
        <w:t xml:space="preserve"> ratio</w:t>
      </w:r>
      <w:r w:rsidR="000D4038">
        <w:t xml:space="preserve"> below average and </w:t>
      </w:r>
      <w:r w:rsidR="00306860">
        <w:t xml:space="preserve">also </w:t>
      </w:r>
      <w:r w:rsidR="000D4038">
        <w:t>slightly deleverages over time.</w:t>
      </w:r>
      <w:r w:rsidR="00C0502A">
        <w:t xml:space="preserve"> The almost symmetric fluctuation of debt-to-assets ratio and operating margin indicates</w:t>
      </w:r>
      <w:r w:rsidR="00B91460">
        <w:t xml:space="preserve"> a negative relationship between leverage and profitability.</w:t>
      </w:r>
      <w:r w:rsidR="00471D9E">
        <w:t xml:space="preserve"> The trends of SOEs in other industries</w:t>
      </w:r>
      <w:r w:rsidR="000D4038">
        <w:t xml:space="preserve"> </w:t>
      </w:r>
      <w:r w:rsidR="00471D9E">
        <w:t xml:space="preserve">are demonstrated in </w:t>
      </w:r>
      <w:r w:rsidR="00471D9E" w:rsidRPr="008065FC">
        <w:t>Appendix B.</w:t>
      </w:r>
    </w:p>
    <w:p w:rsidR="00BE1A5E" w:rsidRDefault="00BE1A5E" w:rsidP="00B73A70">
      <w:pPr>
        <w:pBdr>
          <w:top w:val="nil"/>
          <w:left w:val="nil"/>
          <w:bottom w:val="nil"/>
          <w:right w:val="nil"/>
          <w:between w:val="nil"/>
        </w:pBdr>
        <w:spacing w:line="480" w:lineRule="auto"/>
        <w:jc w:val="both"/>
      </w:pPr>
    </w:p>
    <w:p w:rsidR="00BE1A5E" w:rsidRPr="00B73A70" w:rsidRDefault="002547ED" w:rsidP="00B73A70">
      <w:pPr>
        <w:numPr>
          <w:ilvl w:val="0"/>
          <w:numId w:val="1"/>
        </w:numPr>
        <w:pBdr>
          <w:top w:val="nil"/>
          <w:left w:val="nil"/>
          <w:bottom w:val="nil"/>
          <w:right w:val="nil"/>
          <w:between w:val="nil"/>
        </w:pBdr>
        <w:spacing w:line="480" w:lineRule="auto"/>
        <w:jc w:val="center"/>
        <w:rPr>
          <w:b/>
        </w:rPr>
      </w:pPr>
      <w:r w:rsidRPr="00B73A70">
        <w:rPr>
          <w:b/>
        </w:rPr>
        <w:t>Empirical Results</w:t>
      </w:r>
    </w:p>
    <w:p w:rsidR="008D391D" w:rsidRDefault="008D391D" w:rsidP="00B73A70">
      <w:pPr>
        <w:pBdr>
          <w:top w:val="nil"/>
          <w:left w:val="nil"/>
          <w:bottom w:val="nil"/>
          <w:right w:val="nil"/>
          <w:between w:val="nil"/>
        </w:pBdr>
        <w:spacing w:line="480" w:lineRule="auto"/>
        <w:jc w:val="both"/>
      </w:pPr>
    </w:p>
    <w:p w:rsidR="00BE1A5E" w:rsidRDefault="008D391D" w:rsidP="00B73A70">
      <w:pPr>
        <w:pBdr>
          <w:top w:val="nil"/>
          <w:left w:val="nil"/>
          <w:bottom w:val="nil"/>
          <w:right w:val="nil"/>
          <w:between w:val="nil"/>
        </w:pBdr>
        <w:spacing w:line="480" w:lineRule="auto"/>
        <w:jc w:val="both"/>
      </w:pPr>
      <w:r>
        <w:t xml:space="preserve">To check the robustness of the trends denoted in the previous section, I undertook fixed effect and random effect regressions on the panel data. </w:t>
      </w:r>
      <w:r w:rsidR="006E2816">
        <w:t>There is a potential endogeneity problem with</w:t>
      </w:r>
      <w:r w:rsidR="00AE1660">
        <w:t>in</w:t>
      </w:r>
      <w:r w:rsidR="006E2816">
        <w:t xml:space="preserve"> the leverage regression model because leverage and profitability simultaneously </w:t>
      </w:r>
      <w:r w:rsidR="00AE1660">
        <w:t>affect</w:t>
      </w:r>
      <w:r w:rsidR="006E2816">
        <w:t xml:space="preserve"> one another.</w:t>
      </w:r>
      <w:r w:rsidR="00AE1660">
        <w:t xml:space="preserve"> </w:t>
      </w:r>
      <w:r w:rsidR="00492F06">
        <w:t>Therefore, the later discussion mainly talks about the correlations between the variables rather than causal relationships.</w:t>
      </w:r>
      <w:r w:rsidR="00F6780C">
        <w:t xml:space="preserve"> The regression model is specified as follows</w:t>
      </w:r>
      <w:r w:rsidR="00921675">
        <w:t>:</w:t>
      </w:r>
    </w:p>
    <w:p w:rsidR="000910DF" w:rsidRPr="000910DF" w:rsidRDefault="000910DF" w:rsidP="00B73A70">
      <w:pPr>
        <w:pBdr>
          <w:top w:val="nil"/>
          <w:left w:val="nil"/>
          <w:bottom w:val="nil"/>
          <w:right w:val="nil"/>
          <w:between w:val="nil"/>
        </w:pBdr>
        <w:spacing w:line="480" w:lineRule="auto"/>
        <w:jc w:val="both"/>
      </w:pPr>
    </w:p>
    <w:p w:rsidR="00BE1A5E" w:rsidRDefault="00604227" w:rsidP="00B73A70">
      <w:pPr>
        <w:pBdr>
          <w:top w:val="nil"/>
          <w:left w:val="nil"/>
          <w:bottom w:val="nil"/>
          <w:right w:val="nil"/>
          <w:between w:val="nil"/>
        </w:pBdr>
        <w:spacing w:line="480" w:lineRule="auto"/>
        <w:ind w:left="720" w:hanging="720"/>
        <w:jc w:val="both"/>
        <w:rPr>
          <w:color w:val="000000"/>
          <w:sz w:val="22"/>
          <w:szCs w:val="22"/>
          <w:vertAlign w:val="subscript"/>
        </w:rPr>
      </w:pPr>
      <w:proofErr w:type="spellStart"/>
      <w:proofErr w:type="gramStart"/>
      <w:r>
        <w:rPr>
          <w:color w:val="000000"/>
          <w:sz w:val="22"/>
          <w:szCs w:val="22"/>
        </w:rPr>
        <w:t>Leverage</w:t>
      </w:r>
      <w:r>
        <w:rPr>
          <w:color w:val="000000"/>
          <w:sz w:val="22"/>
          <w:szCs w:val="22"/>
          <w:vertAlign w:val="subscript"/>
        </w:rPr>
        <w:t>i,t</w:t>
      </w:r>
      <w:proofErr w:type="spellEnd"/>
      <w:proofErr w:type="gramEnd"/>
      <w:r>
        <w:rPr>
          <w:color w:val="000000"/>
          <w:sz w:val="22"/>
          <w:szCs w:val="22"/>
          <w:vertAlign w:val="subscript"/>
        </w:rPr>
        <w:t xml:space="preserve"> </w:t>
      </w:r>
      <w:r>
        <w:rPr>
          <w:color w:val="000000"/>
          <w:sz w:val="22"/>
          <w:szCs w:val="22"/>
        </w:rPr>
        <w:t xml:space="preserve"> = β</w:t>
      </w:r>
      <w:r>
        <w:rPr>
          <w:color w:val="000000"/>
          <w:sz w:val="22"/>
          <w:szCs w:val="22"/>
          <w:vertAlign w:val="subscript"/>
        </w:rPr>
        <w:t>0</w:t>
      </w:r>
      <w:r>
        <w:rPr>
          <w:color w:val="000000"/>
          <w:sz w:val="22"/>
          <w:szCs w:val="22"/>
        </w:rPr>
        <w:t xml:space="preserve"> + 𝜶</w:t>
      </w:r>
      <w:r>
        <w:rPr>
          <w:sz w:val="22"/>
          <w:szCs w:val="22"/>
          <w:vertAlign w:val="subscript"/>
        </w:rPr>
        <w:t>1</w:t>
      </w:r>
      <w:r>
        <w:rPr>
          <w:sz w:val="22"/>
          <w:szCs w:val="22"/>
        </w:rPr>
        <w:t>Profit</w:t>
      </w:r>
      <w:r w:rsidR="00287844">
        <w:rPr>
          <w:sz w:val="22"/>
          <w:szCs w:val="22"/>
        </w:rPr>
        <w:t>ability</w:t>
      </w:r>
      <w:r>
        <w:rPr>
          <w:sz w:val="22"/>
          <w:szCs w:val="22"/>
          <w:vertAlign w:val="subscript"/>
        </w:rPr>
        <w:t xml:space="preserve">i,t </w:t>
      </w:r>
      <w:r>
        <w:rPr>
          <w:sz w:val="22"/>
          <w:szCs w:val="22"/>
        </w:rPr>
        <w:t xml:space="preserve">+ </w:t>
      </w:r>
      <w:r>
        <w:rPr>
          <w:color w:val="000000"/>
          <w:sz w:val="22"/>
          <w:szCs w:val="22"/>
        </w:rPr>
        <w:t>β</w:t>
      </w:r>
      <w:r>
        <w:rPr>
          <w:color w:val="000000"/>
          <w:sz w:val="22"/>
          <w:szCs w:val="22"/>
          <w:vertAlign w:val="subscript"/>
        </w:rPr>
        <w:t>1</w:t>
      </w:r>
      <w:r>
        <w:rPr>
          <w:color w:val="000000"/>
          <w:sz w:val="22"/>
          <w:szCs w:val="22"/>
        </w:rPr>
        <w:t>X</w:t>
      </w:r>
      <w:r>
        <w:rPr>
          <w:color w:val="000000"/>
          <w:sz w:val="22"/>
          <w:szCs w:val="22"/>
          <w:vertAlign w:val="subscript"/>
        </w:rPr>
        <w:t>i,t</w:t>
      </w:r>
      <w:r>
        <w:rPr>
          <w:color w:val="000000"/>
          <w:sz w:val="22"/>
          <w:szCs w:val="22"/>
        </w:rPr>
        <w:t xml:space="preserve"> + γ</w:t>
      </w:r>
      <w:r>
        <w:rPr>
          <w:color w:val="000000"/>
          <w:sz w:val="22"/>
          <w:szCs w:val="22"/>
          <w:vertAlign w:val="subscript"/>
        </w:rPr>
        <w:t>2</w:t>
      </w:r>
      <w:r>
        <w:rPr>
          <w:color w:val="000000"/>
          <w:sz w:val="22"/>
          <w:szCs w:val="22"/>
        </w:rPr>
        <w:t>Sector</w:t>
      </w:r>
      <w:r>
        <w:rPr>
          <w:color w:val="000000"/>
          <w:sz w:val="22"/>
          <w:szCs w:val="22"/>
          <w:vertAlign w:val="subscript"/>
        </w:rPr>
        <w:t xml:space="preserve">2 </w:t>
      </w:r>
      <w:r>
        <w:rPr>
          <w:color w:val="000000"/>
          <w:sz w:val="22"/>
          <w:szCs w:val="22"/>
        </w:rPr>
        <w:t>+ … + γ</w:t>
      </w:r>
      <w:r w:rsidR="00F52844">
        <w:rPr>
          <w:color w:val="000000"/>
          <w:sz w:val="22"/>
          <w:szCs w:val="22"/>
          <w:vertAlign w:val="subscript"/>
        </w:rPr>
        <w:t>16</w:t>
      </w:r>
      <w:r>
        <w:rPr>
          <w:color w:val="000000"/>
          <w:sz w:val="22"/>
          <w:szCs w:val="22"/>
        </w:rPr>
        <w:t>Sector</w:t>
      </w:r>
      <w:r w:rsidR="00F52844">
        <w:rPr>
          <w:color w:val="000000"/>
          <w:sz w:val="22"/>
          <w:szCs w:val="22"/>
          <w:vertAlign w:val="subscript"/>
        </w:rPr>
        <w:t>16</w:t>
      </w:r>
      <w:r>
        <w:rPr>
          <w:color w:val="000000"/>
          <w:sz w:val="22"/>
          <w:szCs w:val="22"/>
          <w:vertAlign w:val="subscript"/>
        </w:rPr>
        <w:t xml:space="preserve"> </w:t>
      </w:r>
      <w:r>
        <w:rPr>
          <w:color w:val="000000"/>
          <w:sz w:val="22"/>
          <w:szCs w:val="22"/>
        </w:rPr>
        <w:t>+ δ</w:t>
      </w:r>
      <w:r>
        <w:rPr>
          <w:color w:val="000000"/>
          <w:sz w:val="22"/>
          <w:szCs w:val="22"/>
          <w:vertAlign w:val="subscript"/>
        </w:rPr>
        <w:t>0</w:t>
      </w:r>
      <w:r>
        <w:rPr>
          <w:color w:val="000000"/>
          <w:sz w:val="22"/>
          <w:szCs w:val="22"/>
        </w:rPr>
        <w:t>T</w:t>
      </w:r>
      <w:r>
        <w:rPr>
          <w:color w:val="000000"/>
          <w:sz w:val="22"/>
          <w:szCs w:val="22"/>
          <w:vertAlign w:val="subscript"/>
        </w:rPr>
        <w:t>2000</w:t>
      </w:r>
      <w:r>
        <w:rPr>
          <w:color w:val="000000"/>
          <w:sz w:val="22"/>
          <w:szCs w:val="22"/>
        </w:rPr>
        <w:t xml:space="preserve"> +… + δ</w:t>
      </w:r>
      <w:r>
        <w:rPr>
          <w:color w:val="000000"/>
          <w:sz w:val="22"/>
          <w:szCs w:val="22"/>
          <w:vertAlign w:val="subscript"/>
        </w:rPr>
        <w:t>16</w:t>
      </w:r>
      <w:r>
        <w:rPr>
          <w:color w:val="000000"/>
          <w:sz w:val="22"/>
          <w:szCs w:val="22"/>
        </w:rPr>
        <w:t>T</w:t>
      </w:r>
      <w:r>
        <w:rPr>
          <w:color w:val="000000"/>
          <w:sz w:val="22"/>
          <w:szCs w:val="22"/>
          <w:vertAlign w:val="subscript"/>
        </w:rPr>
        <w:t>2016</w:t>
      </w:r>
      <w:r>
        <w:rPr>
          <w:color w:val="000000"/>
          <w:sz w:val="22"/>
          <w:szCs w:val="22"/>
        </w:rPr>
        <w:t xml:space="preserve"> + </w:t>
      </w:r>
      <w:proofErr w:type="spellStart"/>
      <w:r>
        <w:rPr>
          <w:color w:val="000000"/>
          <w:sz w:val="22"/>
          <w:szCs w:val="22"/>
        </w:rPr>
        <w:t>μ</w:t>
      </w:r>
      <w:r>
        <w:rPr>
          <w:color w:val="000000"/>
          <w:sz w:val="22"/>
          <w:szCs w:val="22"/>
          <w:vertAlign w:val="subscript"/>
        </w:rPr>
        <w:t>i,t</w:t>
      </w:r>
      <w:proofErr w:type="spellEnd"/>
      <w:r w:rsidR="00B05E41">
        <w:rPr>
          <w:color w:val="000000"/>
          <w:sz w:val="22"/>
          <w:szCs w:val="22"/>
          <w:vertAlign w:val="subscript"/>
        </w:rPr>
        <w:tab/>
      </w:r>
      <w:r w:rsidR="00B05E41">
        <w:rPr>
          <w:color w:val="000000"/>
          <w:sz w:val="22"/>
          <w:szCs w:val="22"/>
          <w:vertAlign w:val="subscript"/>
        </w:rPr>
        <w:tab/>
      </w:r>
    </w:p>
    <w:p w:rsidR="00BE1A5E" w:rsidRDefault="00BE1A5E" w:rsidP="00B73A70">
      <w:pPr>
        <w:spacing w:line="480" w:lineRule="auto"/>
        <w:jc w:val="both"/>
      </w:pPr>
    </w:p>
    <w:p w:rsidR="00906ADE" w:rsidRDefault="009372BE" w:rsidP="00B73A70">
      <w:pPr>
        <w:spacing w:line="480" w:lineRule="auto"/>
        <w:jc w:val="both"/>
      </w:pPr>
      <w:r>
        <w:t xml:space="preserve">The </w:t>
      </w:r>
      <w:r w:rsidR="00073B25">
        <w:t>model</w:t>
      </w:r>
      <w:r>
        <w:t xml:space="preserve"> examine</w:t>
      </w:r>
      <w:r w:rsidR="00073B25">
        <w:t>s</w:t>
      </w:r>
      <w:r>
        <w:t xml:space="preserve"> the effect</w:t>
      </w:r>
      <w:r w:rsidR="007E0DAA">
        <w:t>s</w:t>
      </w:r>
      <w:r>
        <w:t xml:space="preserve"> of firm characteristics, sector and time on SOE’s leverage.</w:t>
      </w:r>
      <w:r w:rsidR="00CD6DE1">
        <w:t xml:space="preserve"> </w:t>
      </w:r>
      <w:proofErr w:type="spellStart"/>
      <w:proofErr w:type="gramStart"/>
      <w:r w:rsidR="00F52844">
        <w:t>X</w:t>
      </w:r>
      <w:r w:rsidR="00F52844">
        <w:rPr>
          <w:vertAlign w:val="subscript"/>
        </w:rPr>
        <w:t>i,t</w:t>
      </w:r>
      <w:proofErr w:type="spellEnd"/>
      <w:proofErr w:type="gramEnd"/>
      <w:r w:rsidR="00F52844">
        <w:rPr>
          <w:vertAlign w:val="subscript"/>
        </w:rPr>
        <w:t xml:space="preserve"> </w:t>
      </w:r>
      <w:r w:rsidR="00F52844">
        <w:t>controls all firm-level characteristics</w:t>
      </w:r>
      <w:r w:rsidR="00EE1FE3">
        <w:rPr>
          <w:rStyle w:val="FootnoteReference"/>
        </w:rPr>
        <w:footnoteReference w:id="4"/>
      </w:r>
      <w:r w:rsidR="00D704AB">
        <w:t xml:space="preserve">. The differences across industries are captured by the dummy variables </w:t>
      </w:r>
      <w:proofErr w:type="spellStart"/>
      <w:r w:rsidR="00D704AB" w:rsidRPr="00D704AB">
        <w:rPr>
          <w:i/>
        </w:rPr>
        <w:t>Sector</w:t>
      </w:r>
      <w:r w:rsidR="00D704AB" w:rsidRPr="00D704AB">
        <w:rPr>
          <w:i/>
          <w:vertAlign w:val="subscript"/>
        </w:rPr>
        <w:t>n</w:t>
      </w:r>
      <w:proofErr w:type="spellEnd"/>
      <w:r w:rsidR="00D704AB">
        <w:rPr>
          <w:i/>
        </w:rPr>
        <w:t>. T</w:t>
      </w:r>
      <w:r w:rsidR="00D704AB">
        <w:rPr>
          <w:i/>
          <w:vertAlign w:val="subscript"/>
        </w:rPr>
        <w:t>n</w:t>
      </w:r>
      <w:r w:rsidR="00D704AB">
        <w:rPr>
          <w:i/>
        </w:rPr>
        <w:t xml:space="preserve"> </w:t>
      </w:r>
      <w:r w:rsidR="00D704AB">
        <w:t>are the dummy variables that captures time trend effect.</w:t>
      </w:r>
      <w:r w:rsidR="004C2F34">
        <w:t xml:space="preserve"> The partial results</w:t>
      </w:r>
      <w:r w:rsidR="00FF6468">
        <w:rPr>
          <w:rStyle w:val="FootnoteReference"/>
        </w:rPr>
        <w:footnoteReference w:id="5"/>
      </w:r>
      <w:r w:rsidR="004C2F34">
        <w:t xml:space="preserve"> are presented in Table 3 and Table 4</w:t>
      </w:r>
      <w:r w:rsidR="00FF6468">
        <w:t>.</w:t>
      </w:r>
    </w:p>
    <w:p w:rsidR="003A268B" w:rsidRDefault="000249DC" w:rsidP="003A268B">
      <w:pPr>
        <w:spacing w:line="480" w:lineRule="auto"/>
        <w:jc w:val="both"/>
      </w:pPr>
      <w:r>
        <w:lastRenderedPageBreak/>
        <w:t xml:space="preserve">Table 3 presents the aggregate leverage ratio with respect to different industries. </w:t>
      </w:r>
      <w:bookmarkStart w:id="63" w:name="OLE_LINK66"/>
      <w:bookmarkStart w:id="64" w:name="OLE_LINK67"/>
      <w:bookmarkStart w:id="65" w:name="OLE_LINK68"/>
      <w:r w:rsidR="00781D1D">
        <w:t xml:space="preserve">The result shows, controlling for firm characteristics, SOEs in construction, real estate and retail industries have significantly higher leverage while SOEs in information technology industry </w:t>
      </w:r>
      <w:r w:rsidR="003A268B">
        <w:t>have lower leverage.</w:t>
      </w:r>
    </w:p>
    <w:bookmarkEnd w:id="63"/>
    <w:bookmarkEnd w:id="64"/>
    <w:bookmarkEnd w:id="65"/>
    <w:p w:rsidR="00E62A2B" w:rsidRDefault="00E62A2B" w:rsidP="003A268B">
      <w:pPr>
        <w:spacing w:line="480" w:lineRule="auto"/>
        <w:jc w:val="both"/>
      </w:pPr>
    </w:p>
    <w:p w:rsidR="00437B4D" w:rsidRDefault="00437B4D" w:rsidP="00437B4D">
      <w:pPr>
        <w:spacing w:line="276" w:lineRule="auto"/>
        <w:jc w:val="both"/>
      </w:pPr>
      <w:r>
        <w:t>Table 3. Aggregate leverage and industry</w:t>
      </w:r>
    </w:p>
    <w:p w:rsidR="00437B4D" w:rsidRDefault="00437B4D" w:rsidP="00437B4D">
      <w:pPr>
        <w:spacing w:line="276" w:lineRule="auto"/>
        <w:jc w:val="both"/>
      </w:pPr>
    </w:p>
    <w:tbl>
      <w:tblPr>
        <w:tblpPr w:leftFromText="180" w:rightFromText="180" w:vertAnchor="text" w:horzAnchor="page" w:tblpXSpec="center" w:tblpY="52"/>
        <w:tblW w:w="4253" w:type="dxa"/>
        <w:tblLook w:val="04A0" w:firstRow="1" w:lastRow="0" w:firstColumn="1" w:lastColumn="0" w:noHBand="0" w:noVBand="1"/>
      </w:tblPr>
      <w:tblGrid>
        <w:gridCol w:w="2268"/>
        <w:gridCol w:w="1985"/>
      </w:tblGrid>
      <w:tr w:rsidR="00437B4D" w:rsidRPr="0069613F" w:rsidTr="002E40CF">
        <w:trPr>
          <w:trHeight w:val="250"/>
        </w:trPr>
        <w:tc>
          <w:tcPr>
            <w:tcW w:w="4253" w:type="dxa"/>
            <w:gridSpan w:val="2"/>
            <w:tcBorders>
              <w:top w:val="nil"/>
              <w:left w:val="nil"/>
              <w:bottom w:val="single" w:sz="4" w:space="0" w:color="auto"/>
              <w:right w:val="nil"/>
            </w:tcBorders>
            <w:shd w:val="clear" w:color="auto" w:fill="auto"/>
            <w:noWrap/>
            <w:vAlign w:val="center"/>
          </w:tcPr>
          <w:p w:rsidR="00437B4D" w:rsidRPr="0069613F" w:rsidRDefault="00437B4D" w:rsidP="002E40CF">
            <w:pPr>
              <w:jc w:val="center"/>
              <w:rPr>
                <w:color w:val="000000"/>
                <w:sz w:val="20"/>
                <w:szCs w:val="20"/>
              </w:rPr>
            </w:pPr>
            <w:bookmarkStart w:id="66" w:name="OLE_LINK11"/>
            <w:bookmarkStart w:id="67" w:name="OLE_LINK12"/>
            <w:r>
              <w:rPr>
                <w:color w:val="000000"/>
                <w:sz w:val="20"/>
                <w:szCs w:val="20"/>
              </w:rPr>
              <w:t>Debt/Assets</w:t>
            </w:r>
          </w:p>
        </w:tc>
      </w:tr>
      <w:tr w:rsidR="00437B4D" w:rsidRPr="0069613F" w:rsidTr="002E40CF">
        <w:trPr>
          <w:trHeight w:val="314"/>
        </w:trPr>
        <w:tc>
          <w:tcPr>
            <w:tcW w:w="2268" w:type="dxa"/>
            <w:tcBorders>
              <w:top w:val="single" w:sz="4" w:space="0" w:color="auto"/>
              <w:left w:val="nil"/>
              <w:bottom w:val="single" w:sz="4" w:space="0" w:color="auto"/>
              <w:right w:val="nil"/>
            </w:tcBorders>
            <w:shd w:val="clear" w:color="auto" w:fill="auto"/>
            <w:noWrap/>
            <w:vAlign w:val="bottom"/>
            <w:hideMark/>
          </w:tcPr>
          <w:p w:rsidR="00437B4D" w:rsidRPr="0069613F" w:rsidRDefault="00437B4D" w:rsidP="002E40CF">
            <w:pPr>
              <w:rPr>
                <w:sz w:val="20"/>
                <w:szCs w:val="20"/>
              </w:rPr>
            </w:pPr>
          </w:p>
        </w:tc>
        <w:tc>
          <w:tcPr>
            <w:tcW w:w="1985" w:type="dxa"/>
            <w:tcBorders>
              <w:top w:val="single" w:sz="4" w:space="0" w:color="auto"/>
              <w:left w:val="nil"/>
              <w:bottom w:val="single" w:sz="4" w:space="0" w:color="auto"/>
              <w:right w:val="nil"/>
            </w:tcBorders>
            <w:shd w:val="clear" w:color="auto" w:fill="auto"/>
            <w:noWrap/>
            <w:vAlign w:val="center"/>
            <w:hideMark/>
          </w:tcPr>
          <w:p w:rsidR="00437B4D" w:rsidRPr="0069613F" w:rsidRDefault="00437B4D" w:rsidP="002E40CF">
            <w:pPr>
              <w:jc w:val="center"/>
              <w:rPr>
                <w:color w:val="000000"/>
                <w:sz w:val="20"/>
                <w:szCs w:val="20"/>
              </w:rPr>
            </w:pPr>
            <w:r w:rsidRPr="0069613F">
              <w:rPr>
                <w:color w:val="000000"/>
                <w:sz w:val="20"/>
                <w:szCs w:val="20"/>
              </w:rPr>
              <w:t>Aggregate (RE)</w:t>
            </w:r>
          </w:p>
        </w:tc>
      </w:tr>
      <w:tr w:rsidR="00437B4D" w:rsidRPr="0069613F" w:rsidTr="002E40CF">
        <w:trPr>
          <w:trHeight w:val="531"/>
        </w:trPr>
        <w:tc>
          <w:tcPr>
            <w:tcW w:w="2268" w:type="dxa"/>
            <w:tcBorders>
              <w:top w:val="single" w:sz="4" w:space="0" w:color="auto"/>
              <w:left w:val="nil"/>
              <w:bottom w:val="nil"/>
              <w:right w:val="nil"/>
            </w:tcBorders>
            <w:shd w:val="clear" w:color="auto" w:fill="auto"/>
            <w:noWrap/>
            <w:vAlign w:val="bottom"/>
            <w:hideMark/>
          </w:tcPr>
          <w:p w:rsidR="00437B4D" w:rsidRPr="0069613F" w:rsidRDefault="00437B4D" w:rsidP="002E40CF">
            <w:pPr>
              <w:rPr>
                <w:color w:val="000000"/>
                <w:sz w:val="20"/>
                <w:szCs w:val="20"/>
              </w:rPr>
            </w:pPr>
            <w:r w:rsidRPr="0069613F">
              <w:rPr>
                <w:color w:val="000000"/>
                <w:sz w:val="20"/>
                <w:szCs w:val="20"/>
              </w:rPr>
              <w:t>Agriculture</w:t>
            </w:r>
          </w:p>
        </w:tc>
        <w:tc>
          <w:tcPr>
            <w:tcW w:w="1985" w:type="dxa"/>
            <w:tcBorders>
              <w:top w:val="single" w:sz="4" w:space="0" w:color="auto"/>
              <w:left w:val="nil"/>
              <w:bottom w:val="nil"/>
              <w:right w:val="nil"/>
            </w:tcBorders>
            <w:shd w:val="clear" w:color="auto" w:fill="auto"/>
            <w:vAlign w:val="bottom"/>
            <w:hideMark/>
          </w:tcPr>
          <w:p w:rsidR="00437B4D" w:rsidRPr="0069613F" w:rsidRDefault="00437B4D" w:rsidP="002E40CF">
            <w:pPr>
              <w:jc w:val="center"/>
              <w:rPr>
                <w:color w:val="000000"/>
                <w:sz w:val="20"/>
                <w:szCs w:val="20"/>
              </w:rPr>
            </w:pPr>
            <w:r w:rsidRPr="0069613F">
              <w:rPr>
                <w:color w:val="000000"/>
                <w:sz w:val="20"/>
                <w:szCs w:val="20"/>
              </w:rPr>
              <w:t>-.6009</w:t>
            </w:r>
            <w:r w:rsidRPr="0069613F">
              <w:rPr>
                <w:color w:val="000000"/>
                <w:sz w:val="20"/>
                <w:szCs w:val="20"/>
              </w:rPr>
              <w:br/>
              <w:t>(6.099)</w:t>
            </w:r>
          </w:p>
        </w:tc>
      </w:tr>
      <w:tr w:rsidR="00437B4D" w:rsidRPr="0069613F" w:rsidTr="002E40CF">
        <w:trPr>
          <w:trHeight w:val="531"/>
        </w:trPr>
        <w:tc>
          <w:tcPr>
            <w:tcW w:w="2268" w:type="dxa"/>
            <w:tcBorders>
              <w:top w:val="nil"/>
              <w:left w:val="nil"/>
              <w:bottom w:val="nil"/>
              <w:right w:val="nil"/>
            </w:tcBorders>
            <w:shd w:val="clear" w:color="auto" w:fill="auto"/>
            <w:noWrap/>
            <w:vAlign w:val="bottom"/>
            <w:hideMark/>
          </w:tcPr>
          <w:p w:rsidR="00437B4D" w:rsidRPr="0069613F" w:rsidRDefault="00437B4D" w:rsidP="002E40CF">
            <w:pPr>
              <w:rPr>
                <w:color w:val="000000"/>
                <w:sz w:val="20"/>
                <w:szCs w:val="20"/>
              </w:rPr>
            </w:pPr>
            <w:r w:rsidRPr="0069613F">
              <w:rPr>
                <w:color w:val="000000"/>
                <w:sz w:val="20"/>
                <w:szCs w:val="20"/>
              </w:rPr>
              <w:t>Mining</w:t>
            </w:r>
          </w:p>
        </w:tc>
        <w:tc>
          <w:tcPr>
            <w:tcW w:w="1985" w:type="dxa"/>
            <w:tcBorders>
              <w:top w:val="nil"/>
              <w:left w:val="nil"/>
              <w:bottom w:val="nil"/>
              <w:right w:val="nil"/>
            </w:tcBorders>
            <w:shd w:val="clear" w:color="auto" w:fill="auto"/>
            <w:vAlign w:val="bottom"/>
            <w:hideMark/>
          </w:tcPr>
          <w:p w:rsidR="00437B4D" w:rsidRPr="0069613F" w:rsidRDefault="00437B4D" w:rsidP="002E40CF">
            <w:pPr>
              <w:jc w:val="center"/>
              <w:rPr>
                <w:color w:val="000000"/>
                <w:sz w:val="20"/>
                <w:szCs w:val="20"/>
              </w:rPr>
            </w:pPr>
            <w:r w:rsidRPr="0069613F">
              <w:rPr>
                <w:color w:val="000000"/>
                <w:sz w:val="20"/>
                <w:szCs w:val="20"/>
              </w:rPr>
              <w:t>-8.5219</w:t>
            </w:r>
            <w:r w:rsidRPr="0069613F">
              <w:rPr>
                <w:color w:val="000000"/>
                <w:sz w:val="20"/>
                <w:szCs w:val="20"/>
              </w:rPr>
              <w:br/>
              <w:t>(5.3304)</w:t>
            </w:r>
          </w:p>
        </w:tc>
      </w:tr>
      <w:tr w:rsidR="00437B4D" w:rsidRPr="0069613F" w:rsidTr="002E40CF">
        <w:trPr>
          <w:trHeight w:val="296"/>
        </w:trPr>
        <w:tc>
          <w:tcPr>
            <w:tcW w:w="2268" w:type="dxa"/>
            <w:tcBorders>
              <w:top w:val="nil"/>
              <w:left w:val="nil"/>
              <w:bottom w:val="nil"/>
              <w:right w:val="nil"/>
            </w:tcBorders>
            <w:shd w:val="clear" w:color="auto" w:fill="auto"/>
            <w:noWrap/>
            <w:vAlign w:val="bottom"/>
            <w:hideMark/>
          </w:tcPr>
          <w:p w:rsidR="00437B4D" w:rsidRPr="0069613F" w:rsidRDefault="00437B4D" w:rsidP="002E40CF">
            <w:pPr>
              <w:rPr>
                <w:color w:val="000000"/>
                <w:sz w:val="20"/>
                <w:szCs w:val="20"/>
              </w:rPr>
            </w:pPr>
            <w:r w:rsidRPr="0069613F">
              <w:rPr>
                <w:color w:val="000000"/>
                <w:sz w:val="20"/>
                <w:szCs w:val="20"/>
              </w:rPr>
              <w:t>Manufacturing</w:t>
            </w:r>
          </w:p>
        </w:tc>
        <w:tc>
          <w:tcPr>
            <w:tcW w:w="1985" w:type="dxa"/>
            <w:tcBorders>
              <w:top w:val="nil"/>
              <w:left w:val="nil"/>
              <w:bottom w:val="nil"/>
              <w:right w:val="nil"/>
            </w:tcBorders>
            <w:shd w:val="clear" w:color="auto" w:fill="auto"/>
            <w:vAlign w:val="bottom"/>
            <w:hideMark/>
          </w:tcPr>
          <w:p w:rsidR="00437B4D" w:rsidRPr="0069613F" w:rsidRDefault="00437B4D" w:rsidP="002E40CF">
            <w:pPr>
              <w:jc w:val="center"/>
              <w:rPr>
                <w:color w:val="000000"/>
                <w:sz w:val="20"/>
                <w:szCs w:val="20"/>
              </w:rPr>
            </w:pPr>
            <w:r w:rsidRPr="0069613F">
              <w:rPr>
                <w:color w:val="000000"/>
                <w:sz w:val="20"/>
                <w:szCs w:val="20"/>
              </w:rPr>
              <w:t>.8027</w:t>
            </w:r>
            <w:r w:rsidRPr="0069613F">
              <w:rPr>
                <w:color w:val="000000"/>
                <w:sz w:val="20"/>
                <w:szCs w:val="20"/>
              </w:rPr>
              <w:br/>
              <w:t>(5.0616)</w:t>
            </w:r>
          </w:p>
        </w:tc>
      </w:tr>
      <w:tr w:rsidR="00437B4D" w:rsidRPr="0069613F" w:rsidTr="002E40CF">
        <w:trPr>
          <w:trHeight w:val="531"/>
        </w:trPr>
        <w:tc>
          <w:tcPr>
            <w:tcW w:w="2268" w:type="dxa"/>
            <w:tcBorders>
              <w:top w:val="nil"/>
              <w:left w:val="nil"/>
              <w:bottom w:val="nil"/>
              <w:right w:val="nil"/>
            </w:tcBorders>
            <w:shd w:val="clear" w:color="auto" w:fill="auto"/>
            <w:noWrap/>
            <w:vAlign w:val="bottom"/>
            <w:hideMark/>
          </w:tcPr>
          <w:p w:rsidR="00437B4D" w:rsidRPr="0069613F" w:rsidRDefault="00437B4D" w:rsidP="002E40CF">
            <w:pPr>
              <w:rPr>
                <w:color w:val="000000"/>
                <w:sz w:val="20"/>
                <w:szCs w:val="20"/>
              </w:rPr>
            </w:pPr>
            <w:r w:rsidRPr="0069613F">
              <w:rPr>
                <w:color w:val="000000"/>
                <w:sz w:val="20"/>
                <w:szCs w:val="20"/>
              </w:rPr>
              <w:t>Utility</w:t>
            </w:r>
          </w:p>
        </w:tc>
        <w:tc>
          <w:tcPr>
            <w:tcW w:w="1985" w:type="dxa"/>
            <w:tcBorders>
              <w:top w:val="nil"/>
              <w:left w:val="nil"/>
              <w:bottom w:val="nil"/>
              <w:right w:val="nil"/>
            </w:tcBorders>
            <w:shd w:val="clear" w:color="auto" w:fill="auto"/>
            <w:vAlign w:val="bottom"/>
            <w:hideMark/>
          </w:tcPr>
          <w:p w:rsidR="00437B4D" w:rsidRPr="0069613F" w:rsidRDefault="00437B4D" w:rsidP="002E40CF">
            <w:pPr>
              <w:jc w:val="center"/>
              <w:rPr>
                <w:color w:val="000000"/>
                <w:sz w:val="20"/>
                <w:szCs w:val="20"/>
              </w:rPr>
            </w:pPr>
            <w:r w:rsidRPr="0069613F">
              <w:rPr>
                <w:color w:val="000000"/>
                <w:sz w:val="20"/>
                <w:szCs w:val="20"/>
              </w:rPr>
              <w:t>3.3817</w:t>
            </w:r>
            <w:r w:rsidRPr="0069613F">
              <w:rPr>
                <w:color w:val="000000"/>
                <w:sz w:val="20"/>
                <w:szCs w:val="20"/>
              </w:rPr>
              <w:br/>
              <w:t>(5.2111)</w:t>
            </w:r>
          </w:p>
        </w:tc>
      </w:tr>
      <w:tr w:rsidR="00437B4D" w:rsidRPr="0069613F" w:rsidTr="002E40CF">
        <w:trPr>
          <w:trHeight w:val="531"/>
        </w:trPr>
        <w:tc>
          <w:tcPr>
            <w:tcW w:w="2268" w:type="dxa"/>
            <w:tcBorders>
              <w:top w:val="nil"/>
              <w:left w:val="nil"/>
              <w:bottom w:val="nil"/>
              <w:right w:val="nil"/>
            </w:tcBorders>
            <w:shd w:val="clear" w:color="auto" w:fill="auto"/>
            <w:noWrap/>
            <w:vAlign w:val="bottom"/>
            <w:hideMark/>
          </w:tcPr>
          <w:p w:rsidR="00437B4D" w:rsidRPr="0069613F" w:rsidRDefault="00437B4D" w:rsidP="002E40CF">
            <w:pPr>
              <w:rPr>
                <w:color w:val="000000"/>
                <w:sz w:val="20"/>
                <w:szCs w:val="20"/>
              </w:rPr>
            </w:pPr>
            <w:r w:rsidRPr="0069613F">
              <w:rPr>
                <w:color w:val="000000"/>
                <w:sz w:val="20"/>
                <w:szCs w:val="20"/>
              </w:rPr>
              <w:t>Construction</w:t>
            </w:r>
          </w:p>
        </w:tc>
        <w:tc>
          <w:tcPr>
            <w:tcW w:w="1985" w:type="dxa"/>
            <w:tcBorders>
              <w:top w:val="nil"/>
              <w:left w:val="nil"/>
              <w:bottom w:val="nil"/>
              <w:right w:val="nil"/>
            </w:tcBorders>
            <w:shd w:val="clear" w:color="auto" w:fill="auto"/>
            <w:vAlign w:val="bottom"/>
            <w:hideMark/>
          </w:tcPr>
          <w:p w:rsidR="00437B4D" w:rsidRPr="0069613F" w:rsidRDefault="00437B4D" w:rsidP="002E40CF">
            <w:pPr>
              <w:jc w:val="center"/>
              <w:rPr>
                <w:color w:val="000000"/>
                <w:sz w:val="20"/>
                <w:szCs w:val="20"/>
              </w:rPr>
            </w:pPr>
            <w:r w:rsidRPr="0069613F">
              <w:rPr>
                <w:color w:val="000000"/>
                <w:sz w:val="20"/>
                <w:szCs w:val="20"/>
              </w:rPr>
              <w:t>11.5747**</w:t>
            </w:r>
            <w:r w:rsidRPr="0069613F">
              <w:rPr>
                <w:color w:val="000000"/>
                <w:sz w:val="20"/>
                <w:szCs w:val="20"/>
              </w:rPr>
              <w:br/>
              <w:t>(5.4263)</w:t>
            </w:r>
          </w:p>
        </w:tc>
      </w:tr>
      <w:tr w:rsidR="00437B4D" w:rsidRPr="0069613F" w:rsidTr="002E40CF">
        <w:trPr>
          <w:trHeight w:val="531"/>
        </w:trPr>
        <w:tc>
          <w:tcPr>
            <w:tcW w:w="2268" w:type="dxa"/>
            <w:tcBorders>
              <w:top w:val="nil"/>
              <w:left w:val="nil"/>
              <w:bottom w:val="nil"/>
              <w:right w:val="nil"/>
            </w:tcBorders>
            <w:shd w:val="clear" w:color="auto" w:fill="auto"/>
            <w:noWrap/>
            <w:vAlign w:val="bottom"/>
            <w:hideMark/>
          </w:tcPr>
          <w:p w:rsidR="00437B4D" w:rsidRPr="0069613F" w:rsidRDefault="00437B4D" w:rsidP="002E40CF">
            <w:pPr>
              <w:rPr>
                <w:color w:val="000000"/>
                <w:sz w:val="20"/>
                <w:szCs w:val="20"/>
              </w:rPr>
            </w:pPr>
            <w:r w:rsidRPr="0069613F">
              <w:rPr>
                <w:color w:val="000000"/>
                <w:sz w:val="20"/>
                <w:szCs w:val="20"/>
              </w:rPr>
              <w:t>Retail</w:t>
            </w:r>
          </w:p>
        </w:tc>
        <w:tc>
          <w:tcPr>
            <w:tcW w:w="1985" w:type="dxa"/>
            <w:tcBorders>
              <w:top w:val="nil"/>
              <w:left w:val="nil"/>
              <w:bottom w:val="nil"/>
              <w:right w:val="nil"/>
            </w:tcBorders>
            <w:shd w:val="clear" w:color="auto" w:fill="auto"/>
            <w:vAlign w:val="bottom"/>
            <w:hideMark/>
          </w:tcPr>
          <w:p w:rsidR="00437B4D" w:rsidRPr="0069613F" w:rsidRDefault="00437B4D" w:rsidP="002E40CF">
            <w:pPr>
              <w:jc w:val="center"/>
              <w:rPr>
                <w:color w:val="000000"/>
                <w:sz w:val="20"/>
                <w:szCs w:val="20"/>
              </w:rPr>
            </w:pPr>
            <w:r w:rsidRPr="0069613F">
              <w:rPr>
                <w:color w:val="000000"/>
                <w:sz w:val="20"/>
                <w:szCs w:val="20"/>
              </w:rPr>
              <w:t>9.2734*</w:t>
            </w:r>
            <w:r w:rsidRPr="0069613F">
              <w:rPr>
                <w:color w:val="000000"/>
                <w:sz w:val="20"/>
                <w:szCs w:val="20"/>
              </w:rPr>
              <w:br/>
              <w:t>(5.2522)</w:t>
            </w:r>
          </w:p>
        </w:tc>
      </w:tr>
      <w:tr w:rsidR="00437B4D" w:rsidRPr="0069613F" w:rsidTr="002E40CF">
        <w:trPr>
          <w:trHeight w:val="531"/>
        </w:trPr>
        <w:tc>
          <w:tcPr>
            <w:tcW w:w="2268" w:type="dxa"/>
            <w:tcBorders>
              <w:top w:val="nil"/>
              <w:left w:val="nil"/>
              <w:bottom w:val="nil"/>
              <w:right w:val="nil"/>
            </w:tcBorders>
            <w:shd w:val="clear" w:color="auto" w:fill="auto"/>
            <w:noWrap/>
            <w:vAlign w:val="bottom"/>
            <w:hideMark/>
          </w:tcPr>
          <w:p w:rsidR="00437B4D" w:rsidRPr="0069613F" w:rsidRDefault="00437B4D" w:rsidP="002E40CF">
            <w:pPr>
              <w:rPr>
                <w:color w:val="000000"/>
                <w:sz w:val="20"/>
                <w:szCs w:val="20"/>
              </w:rPr>
            </w:pPr>
            <w:r w:rsidRPr="0069613F">
              <w:rPr>
                <w:color w:val="000000"/>
                <w:sz w:val="20"/>
                <w:szCs w:val="20"/>
              </w:rPr>
              <w:t>Transportation</w:t>
            </w:r>
          </w:p>
        </w:tc>
        <w:tc>
          <w:tcPr>
            <w:tcW w:w="1985" w:type="dxa"/>
            <w:tcBorders>
              <w:top w:val="nil"/>
              <w:left w:val="nil"/>
              <w:bottom w:val="nil"/>
              <w:right w:val="nil"/>
            </w:tcBorders>
            <w:shd w:val="clear" w:color="auto" w:fill="auto"/>
            <w:vAlign w:val="bottom"/>
            <w:hideMark/>
          </w:tcPr>
          <w:p w:rsidR="00437B4D" w:rsidRPr="0069613F" w:rsidRDefault="00437B4D" w:rsidP="002E40CF">
            <w:pPr>
              <w:jc w:val="center"/>
              <w:rPr>
                <w:color w:val="000000"/>
                <w:sz w:val="20"/>
                <w:szCs w:val="20"/>
              </w:rPr>
            </w:pPr>
            <w:r w:rsidRPr="0069613F">
              <w:rPr>
                <w:color w:val="000000"/>
                <w:sz w:val="20"/>
                <w:szCs w:val="20"/>
              </w:rPr>
              <w:t>-6.9474</w:t>
            </w:r>
            <w:r w:rsidRPr="0069613F">
              <w:rPr>
                <w:color w:val="000000"/>
                <w:sz w:val="20"/>
                <w:szCs w:val="20"/>
              </w:rPr>
              <w:br/>
              <w:t>(5.2569)</w:t>
            </w:r>
          </w:p>
        </w:tc>
      </w:tr>
      <w:tr w:rsidR="00437B4D" w:rsidRPr="0069613F" w:rsidTr="002E40CF">
        <w:trPr>
          <w:trHeight w:val="531"/>
        </w:trPr>
        <w:tc>
          <w:tcPr>
            <w:tcW w:w="2268" w:type="dxa"/>
            <w:tcBorders>
              <w:top w:val="nil"/>
              <w:left w:val="nil"/>
              <w:bottom w:val="nil"/>
              <w:right w:val="nil"/>
            </w:tcBorders>
            <w:shd w:val="clear" w:color="auto" w:fill="auto"/>
            <w:noWrap/>
            <w:vAlign w:val="bottom"/>
            <w:hideMark/>
          </w:tcPr>
          <w:p w:rsidR="00437B4D" w:rsidRPr="0069613F" w:rsidRDefault="00437B4D" w:rsidP="002E40CF">
            <w:pPr>
              <w:rPr>
                <w:color w:val="000000"/>
                <w:sz w:val="20"/>
                <w:szCs w:val="20"/>
              </w:rPr>
            </w:pPr>
            <w:r w:rsidRPr="0069613F">
              <w:rPr>
                <w:color w:val="000000"/>
                <w:sz w:val="20"/>
                <w:szCs w:val="20"/>
              </w:rPr>
              <w:t>Accommodation</w:t>
            </w:r>
          </w:p>
        </w:tc>
        <w:tc>
          <w:tcPr>
            <w:tcW w:w="1985" w:type="dxa"/>
            <w:tcBorders>
              <w:top w:val="nil"/>
              <w:left w:val="nil"/>
              <w:bottom w:val="nil"/>
              <w:right w:val="nil"/>
            </w:tcBorders>
            <w:shd w:val="clear" w:color="auto" w:fill="auto"/>
            <w:vAlign w:val="bottom"/>
            <w:hideMark/>
          </w:tcPr>
          <w:p w:rsidR="00437B4D" w:rsidRPr="0069613F" w:rsidRDefault="00437B4D" w:rsidP="002E40CF">
            <w:pPr>
              <w:jc w:val="center"/>
              <w:rPr>
                <w:color w:val="000000"/>
                <w:sz w:val="20"/>
                <w:szCs w:val="20"/>
              </w:rPr>
            </w:pPr>
            <w:r w:rsidRPr="0069613F">
              <w:rPr>
                <w:color w:val="000000"/>
                <w:sz w:val="20"/>
                <w:szCs w:val="20"/>
              </w:rPr>
              <w:t>-6.9207</w:t>
            </w:r>
            <w:r w:rsidRPr="0069613F">
              <w:rPr>
                <w:color w:val="000000"/>
                <w:sz w:val="20"/>
                <w:szCs w:val="20"/>
              </w:rPr>
              <w:br/>
              <w:t>(6.6398)</w:t>
            </w:r>
          </w:p>
        </w:tc>
      </w:tr>
      <w:tr w:rsidR="00437B4D" w:rsidRPr="0069613F" w:rsidTr="002E40CF">
        <w:trPr>
          <w:trHeight w:val="531"/>
        </w:trPr>
        <w:tc>
          <w:tcPr>
            <w:tcW w:w="2268" w:type="dxa"/>
            <w:tcBorders>
              <w:top w:val="nil"/>
              <w:left w:val="nil"/>
              <w:bottom w:val="nil"/>
              <w:right w:val="nil"/>
            </w:tcBorders>
            <w:shd w:val="clear" w:color="auto" w:fill="auto"/>
            <w:noWrap/>
            <w:vAlign w:val="bottom"/>
            <w:hideMark/>
          </w:tcPr>
          <w:p w:rsidR="00437B4D" w:rsidRPr="0069613F" w:rsidRDefault="00437B4D" w:rsidP="002E40CF">
            <w:pPr>
              <w:rPr>
                <w:color w:val="000000"/>
                <w:sz w:val="20"/>
                <w:szCs w:val="20"/>
              </w:rPr>
            </w:pPr>
            <w:r w:rsidRPr="0069613F">
              <w:rPr>
                <w:color w:val="000000"/>
                <w:sz w:val="20"/>
                <w:szCs w:val="20"/>
              </w:rPr>
              <w:t>Info Tech</w:t>
            </w:r>
          </w:p>
        </w:tc>
        <w:tc>
          <w:tcPr>
            <w:tcW w:w="1985" w:type="dxa"/>
            <w:tcBorders>
              <w:top w:val="nil"/>
              <w:left w:val="nil"/>
              <w:bottom w:val="nil"/>
              <w:right w:val="nil"/>
            </w:tcBorders>
            <w:shd w:val="clear" w:color="auto" w:fill="auto"/>
            <w:vAlign w:val="bottom"/>
            <w:hideMark/>
          </w:tcPr>
          <w:p w:rsidR="00437B4D" w:rsidRPr="0069613F" w:rsidRDefault="00437B4D" w:rsidP="002E40CF">
            <w:pPr>
              <w:jc w:val="center"/>
              <w:rPr>
                <w:color w:val="000000"/>
                <w:sz w:val="20"/>
                <w:szCs w:val="20"/>
              </w:rPr>
            </w:pPr>
            <w:r w:rsidRPr="0069613F">
              <w:rPr>
                <w:color w:val="000000"/>
                <w:sz w:val="20"/>
                <w:szCs w:val="20"/>
              </w:rPr>
              <w:t>-11.0313*</w:t>
            </w:r>
            <w:r w:rsidRPr="0069613F">
              <w:rPr>
                <w:color w:val="000000"/>
                <w:sz w:val="20"/>
                <w:szCs w:val="20"/>
              </w:rPr>
              <w:br/>
              <w:t>(6.2358)</w:t>
            </w:r>
          </w:p>
        </w:tc>
      </w:tr>
      <w:tr w:rsidR="00437B4D" w:rsidRPr="0069613F" w:rsidTr="002E40CF">
        <w:trPr>
          <w:trHeight w:val="531"/>
        </w:trPr>
        <w:tc>
          <w:tcPr>
            <w:tcW w:w="2268" w:type="dxa"/>
            <w:tcBorders>
              <w:top w:val="nil"/>
              <w:left w:val="nil"/>
              <w:bottom w:val="nil"/>
              <w:right w:val="nil"/>
            </w:tcBorders>
            <w:shd w:val="clear" w:color="auto" w:fill="auto"/>
            <w:noWrap/>
            <w:vAlign w:val="bottom"/>
            <w:hideMark/>
          </w:tcPr>
          <w:p w:rsidR="00437B4D" w:rsidRPr="0069613F" w:rsidRDefault="00437B4D" w:rsidP="002E40CF">
            <w:pPr>
              <w:rPr>
                <w:color w:val="000000"/>
                <w:sz w:val="20"/>
                <w:szCs w:val="20"/>
              </w:rPr>
            </w:pPr>
            <w:r w:rsidRPr="0069613F">
              <w:rPr>
                <w:color w:val="000000"/>
                <w:sz w:val="20"/>
                <w:szCs w:val="20"/>
              </w:rPr>
              <w:t>Financial</w:t>
            </w:r>
          </w:p>
        </w:tc>
        <w:tc>
          <w:tcPr>
            <w:tcW w:w="1985" w:type="dxa"/>
            <w:tcBorders>
              <w:top w:val="nil"/>
              <w:left w:val="nil"/>
              <w:bottom w:val="nil"/>
              <w:right w:val="nil"/>
            </w:tcBorders>
            <w:shd w:val="clear" w:color="auto" w:fill="auto"/>
            <w:vAlign w:val="bottom"/>
            <w:hideMark/>
          </w:tcPr>
          <w:p w:rsidR="00437B4D" w:rsidRPr="0069613F" w:rsidRDefault="00437B4D" w:rsidP="002E40CF">
            <w:pPr>
              <w:jc w:val="center"/>
              <w:rPr>
                <w:color w:val="000000"/>
                <w:sz w:val="20"/>
                <w:szCs w:val="20"/>
              </w:rPr>
            </w:pPr>
            <w:r w:rsidRPr="0069613F">
              <w:rPr>
                <w:color w:val="000000"/>
                <w:sz w:val="20"/>
                <w:szCs w:val="20"/>
              </w:rPr>
              <w:t>4.1101</w:t>
            </w:r>
            <w:r w:rsidRPr="0069613F">
              <w:rPr>
                <w:color w:val="000000"/>
                <w:sz w:val="20"/>
                <w:szCs w:val="20"/>
              </w:rPr>
              <w:br/>
              <w:t>(7.0858)</w:t>
            </w:r>
          </w:p>
        </w:tc>
      </w:tr>
      <w:tr w:rsidR="00437B4D" w:rsidRPr="0069613F" w:rsidTr="002E40CF">
        <w:trPr>
          <w:trHeight w:val="531"/>
        </w:trPr>
        <w:tc>
          <w:tcPr>
            <w:tcW w:w="2268" w:type="dxa"/>
            <w:tcBorders>
              <w:top w:val="nil"/>
              <w:left w:val="nil"/>
              <w:bottom w:val="nil"/>
              <w:right w:val="nil"/>
            </w:tcBorders>
            <w:shd w:val="clear" w:color="auto" w:fill="auto"/>
            <w:noWrap/>
            <w:vAlign w:val="bottom"/>
            <w:hideMark/>
          </w:tcPr>
          <w:p w:rsidR="00437B4D" w:rsidRPr="0069613F" w:rsidRDefault="00437B4D" w:rsidP="002E40CF">
            <w:pPr>
              <w:rPr>
                <w:color w:val="000000"/>
                <w:sz w:val="20"/>
                <w:szCs w:val="20"/>
              </w:rPr>
            </w:pPr>
            <w:r w:rsidRPr="0069613F">
              <w:rPr>
                <w:color w:val="000000"/>
                <w:sz w:val="20"/>
                <w:szCs w:val="20"/>
              </w:rPr>
              <w:t>Real Estate</w:t>
            </w:r>
          </w:p>
        </w:tc>
        <w:tc>
          <w:tcPr>
            <w:tcW w:w="1985" w:type="dxa"/>
            <w:tcBorders>
              <w:top w:val="nil"/>
              <w:left w:val="nil"/>
              <w:bottom w:val="nil"/>
              <w:right w:val="nil"/>
            </w:tcBorders>
            <w:shd w:val="clear" w:color="auto" w:fill="auto"/>
            <w:vAlign w:val="bottom"/>
            <w:hideMark/>
          </w:tcPr>
          <w:p w:rsidR="00437B4D" w:rsidRPr="0069613F" w:rsidRDefault="00437B4D" w:rsidP="002E40CF">
            <w:pPr>
              <w:jc w:val="center"/>
              <w:rPr>
                <w:color w:val="000000"/>
                <w:sz w:val="20"/>
                <w:szCs w:val="20"/>
              </w:rPr>
            </w:pPr>
            <w:r w:rsidRPr="0069613F">
              <w:rPr>
                <w:color w:val="000000"/>
                <w:sz w:val="20"/>
                <w:szCs w:val="20"/>
              </w:rPr>
              <w:t>10.9134**</w:t>
            </w:r>
            <w:r w:rsidRPr="0069613F">
              <w:rPr>
                <w:color w:val="000000"/>
                <w:sz w:val="20"/>
                <w:szCs w:val="20"/>
              </w:rPr>
              <w:br/>
              <w:t>(5.2765)</w:t>
            </w:r>
          </w:p>
        </w:tc>
      </w:tr>
      <w:tr w:rsidR="00437B4D" w:rsidRPr="0069613F" w:rsidTr="002E40CF">
        <w:trPr>
          <w:trHeight w:val="531"/>
        </w:trPr>
        <w:tc>
          <w:tcPr>
            <w:tcW w:w="2268" w:type="dxa"/>
            <w:tcBorders>
              <w:top w:val="nil"/>
              <w:left w:val="nil"/>
              <w:bottom w:val="nil"/>
              <w:right w:val="nil"/>
            </w:tcBorders>
            <w:shd w:val="clear" w:color="auto" w:fill="auto"/>
            <w:noWrap/>
            <w:vAlign w:val="bottom"/>
            <w:hideMark/>
          </w:tcPr>
          <w:p w:rsidR="00437B4D" w:rsidRPr="0069613F" w:rsidRDefault="00437B4D" w:rsidP="002E40CF">
            <w:pPr>
              <w:rPr>
                <w:color w:val="000000"/>
                <w:sz w:val="20"/>
                <w:szCs w:val="20"/>
              </w:rPr>
            </w:pPr>
            <w:r w:rsidRPr="0069613F">
              <w:rPr>
                <w:color w:val="000000"/>
                <w:sz w:val="20"/>
                <w:szCs w:val="20"/>
              </w:rPr>
              <w:t>Leasing</w:t>
            </w:r>
          </w:p>
        </w:tc>
        <w:tc>
          <w:tcPr>
            <w:tcW w:w="1985" w:type="dxa"/>
            <w:tcBorders>
              <w:top w:val="nil"/>
              <w:left w:val="nil"/>
              <w:bottom w:val="nil"/>
              <w:right w:val="nil"/>
            </w:tcBorders>
            <w:shd w:val="clear" w:color="auto" w:fill="auto"/>
            <w:vAlign w:val="bottom"/>
            <w:hideMark/>
          </w:tcPr>
          <w:p w:rsidR="00437B4D" w:rsidRPr="0069613F" w:rsidRDefault="00437B4D" w:rsidP="002E40CF">
            <w:pPr>
              <w:jc w:val="center"/>
              <w:rPr>
                <w:color w:val="000000"/>
                <w:sz w:val="20"/>
                <w:szCs w:val="20"/>
              </w:rPr>
            </w:pPr>
            <w:r w:rsidRPr="0069613F">
              <w:rPr>
                <w:color w:val="000000"/>
                <w:sz w:val="20"/>
                <w:szCs w:val="20"/>
              </w:rPr>
              <w:t>2.5838</w:t>
            </w:r>
            <w:r w:rsidRPr="0069613F">
              <w:rPr>
                <w:color w:val="000000"/>
                <w:sz w:val="20"/>
                <w:szCs w:val="20"/>
              </w:rPr>
              <w:br/>
              <w:t>(6.4390)</w:t>
            </w:r>
          </w:p>
        </w:tc>
      </w:tr>
      <w:tr w:rsidR="00437B4D" w:rsidRPr="0069613F" w:rsidTr="002E40CF">
        <w:trPr>
          <w:trHeight w:val="531"/>
        </w:trPr>
        <w:tc>
          <w:tcPr>
            <w:tcW w:w="2268" w:type="dxa"/>
            <w:tcBorders>
              <w:top w:val="nil"/>
              <w:left w:val="nil"/>
              <w:bottom w:val="nil"/>
              <w:right w:val="nil"/>
            </w:tcBorders>
            <w:shd w:val="clear" w:color="auto" w:fill="auto"/>
            <w:noWrap/>
            <w:vAlign w:val="bottom"/>
            <w:hideMark/>
          </w:tcPr>
          <w:p w:rsidR="00437B4D" w:rsidRPr="0069613F" w:rsidRDefault="00437B4D" w:rsidP="002E40CF">
            <w:pPr>
              <w:rPr>
                <w:color w:val="000000"/>
                <w:sz w:val="20"/>
                <w:szCs w:val="20"/>
              </w:rPr>
            </w:pPr>
            <w:r w:rsidRPr="0069613F">
              <w:rPr>
                <w:color w:val="000000"/>
                <w:sz w:val="20"/>
                <w:szCs w:val="20"/>
              </w:rPr>
              <w:t>Scientific research</w:t>
            </w:r>
          </w:p>
        </w:tc>
        <w:tc>
          <w:tcPr>
            <w:tcW w:w="1985" w:type="dxa"/>
            <w:tcBorders>
              <w:top w:val="nil"/>
              <w:left w:val="nil"/>
              <w:bottom w:val="nil"/>
              <w:right w:val="nil"/>
            </w:tcBorders>
            <w:shd w:val="clear" w:color="auto" w:fill="auto"/>
            <w:vAlign w:val="bottom"/>
            <w:hideMark/>
          </w:tcPr>
          <w:p w:rsidR="00437B4D" w:rsidRPr="0069613F" w:rsidRDefault="00437B4D" w:rsidP="002E40CF">
            <w:pPr>
              <w:jc w:val="center"/>
              <w:rPr>
                <w:color w:val="000000"/>
                <w:sz w:val="20"/>
                <w:szCs w:val="20"/>
              </w:rPr>
            </w:pPr>
            <w:r w:rsidRPr="0069613F">
              <w:rPr>
                <w:color w:val="000000"/>
                <w:sz w:val="20"/>
                <w:szCs w:val="20"/>
              </w:rPr>
              <w:t>9.6277</w:t>
            </w:r>
            <w:r w:rsidRPr="0069613F">
              <w:rPr>
                <w:color w:val="000000"/>
                <w:sz w:val="20"/>
                <w:szCs w:val="20"/>
              </w:rPr>
              <w:br/>
              <w:t>(7.8596)</w:t>
            </w:r>
          </w:p>
        </w:tc>
      </w:tr>
      <w:tr w:rsidR="00437B4D" w:rsidRPr="0069613F" w:rsidTr="002E40CF">
        <w:trPr>
          <w:trHeight w:val="531"/>
        </w:trPr>
        <w:tc>
          <w:tcPr>
            <w:tcW w:w="2268" w:type="dxa"/>
            <w:tcBorders>
              <w:top w:val="nil"/>
              <w:left w:val="nil"/>
              <w:right w:val="nil"/>
            </w:tcBorders>
            <w:shd w:val="clear" w:color="auto" w:fill="auto"/>
            <w:noWrap/>
            <w:vAlign w:val="bottom"/>
            <w:hideMark/>
          </w:tcPr>
          <w:p w:rsidR="00437B4D" w:rsidRPr="0069613F" w:rsidRDefault="00437B4D" w:rsidP="002E40CF">
            <w:pPr>
              <w:rPr>
                <w:color w:val="000000"/>
                <w:sz w:val="20"/>
                <w:szCs w:val="20"/>
              </w:rPr>
            </w:pPr>
            <w:r w:rsidRPr="0069613F">
              <w:rPr>
                <w:color w:val="000000"/>
                <w:sz w:val="20"/>
                <w:szCs w:val="20"/>
              </w:rPr>
              <w:t>Environment</w:t>
            </w:r>
          </w:p>
        </w:tc>
        <w:tc>
          <w:tcPr>
            <w:tcW w:w="1985" w:type="dxa"/>
            <w:tcBorders>
              <w:top w:val="nil"/>
              <w:left w:val="nil"/>
              <w:right w:val="nil"/>
            </w:tcBorders>
            <w:shd w:val="clear" w:color="auto" w:fill="auto"/>
            <w:vAlign w:val="bottom"/>
            <w:hideMark/>
          </w:tcPr>
          <w:p w:rsidR="00437B4D" w:rsidRPr="0069613F" w:rsidRDefault="00437B4D" w:rsidP="002E40CF">
            <w:pPr>
              <w:jc w:val="center"/>
              <w:rPr>
                <w:color w:val="000000"/>
                <w:sz w:val="20"/>
                <w:szCs w:val="20"/>
              </w:rPr>
            </w:pPr>
            <w:r w:rsidRPr="0069613F">
              <w:rPr>
                <w:color w:val="000000"/>
                <w:sz w:val="20"/>
                <w:szCs w:val="20"/>
              </w:rPr>
              <w:t>1.1511</w:t>
            </w:r>
            <w:r w:rsidRPr="0069613F">
              <w:rPr>
                <w:color w:val="000000"/>
                <w:sz w:val="20"/>
                <w:szCs w:val="20"/>
              </w:rPr>
              <w:br/>
              <w:t>(6.8070)</w:t>
            </w:r>
          </w:p>
        </w:tc>
      </w:tr>
      <w:tr w:rsidR="00437B4D" w:rsidRPr="0069613F" w:rsidTr="002E40CF">
        <w:trPr>
          <w:trHeight w:val="531"/>
        </w:trPr>
        <w:tc>
          <w:tcPr>
            <w:tcW w:w="2268" w:type="dxa"/>
            <w:tcBorders>
              <w:top w:val="nil"/>
              <w:left w:val="nil"/>
              <w:bottom w:val="single" w:sz="4" w:space="0" w:color="auto"/>
              <w:right w:val="nil"/>
            </w:tcBorders>
            <w:shd w:val="clear" w:color="auto" w:fill="auto"/>
            <w:noWrap/>
            <w:vAlign w:val="bottom"/>
            <w:hideMark/>
          </w:tcPr>
          <w:p w:rsidR="00437B4D" w:rsidRPr="0069613F" w:rsidRDefault="00437B4D" w:rsidP="002E40CF">
            <w:pPr>
              <w:rPr>
                <w:color w:val="000000"/>
                <w:sz w:val="20"/>
                <w:szCs w:val="20"/>
              </w:rPr>
            </w:pPr>
            <w:r w:rsidRPr="0069613F">
              <w:rPr>
                <w:color w:val="000000"/>
                <w:sz w:val="20"/>
                <w:szCs w:val="20"/>
              </w:rPr>
              <w:t>Entertainment</w:t>
            </w:r>
          </w:p>
        </w:tc>
        <w:tc>
          <w:tcPr>
            <w:tcW w:w="1985" w:type="dxa"/>
            <w:tcBorders>
              <w:top w:val="nil"/>
              <w:left w:val="nil"/>
              <w:bottom w:val="single" w:sz="4" w:space="0" w:color="auto"/>
              <w:right w:val="nil"/>
            </w:tcBorders>
            <w:shd w:val="clear" w:color="auto" w:fill="auto"/>
            <w:vAlign w:val="bottom"/>
            <w:hideMark/>
          </w:tcPr>
          <w:p w:rsidR="00437B4D" w:rsidRPr="0069613F" w:rsidRDefault="00437B4D" w:rsidP="002E40CF">
            <w:pPr>
              <w:jc w:val="center"/>
              <w:rPr>
                <w:color w:val="000000"/>
                <w:sz w:val="20"/>
                <w:szCs w:val="20"/>
              </w:rPr>
            </w:pPr>
            <w:r w:rsidRPr="0069613F">
              <w:rPr>
                <w:color w:val="000000"/>
                <w:sz w:val="20"/>
                <w:szCs w:val="20"/>
              </w:rPr>
              <w:t>-4.7171</w:t>
            </w:r>
            <w:r w:rsidRPr="0069613F">
              <w:rPr>
                <w:color w:val="000000"/>
                <w:sz w:val="20"/>
                <w:szCs w:val="20"/>
              </w:rPr>
              <w:br/>
              <w:t>(10.1050)</w:t>
            </w:r>
          </w:p>
        </w:tc>
      </w:tr>
      <w:tr w:rsidR="00437B4D" w:rsidRPr="00567667" w:rsidTr="00986A02">
        <w:trPr>
          <w:trHeight w:val="420"/>
        </w:trPr>
        <w:tc>
          <w:tcPr>
            <w:tcW w:w="2268" w:type="dxa"/>
            <w:tcBorders>
              <w:top w:val="single" w:sz="4" w:space="0" w:color="auto"/>
              <w:left w:val="nil"/>
              <w:right w:val="nil"/>
            </w:tcBorders>
            <w:shd w:val="clear" w:color="auto" w:fill="auto"/>
            <w:noWrap/>
            <w:vAlign w:val="bottom"/>
          </w:tcPr>
          <w:p w:rsidR="00437B4D" w:rsidRPr="00567667" w:rsidRDefault="00437B4D" w:rsidP="002E40CF">
            <w:pPr>
              <w:rPr>
                <w:color w:val="000000"/>
                <w:sz w:val="20"/>
                <w:szCs w:val="20"/>
              </w:rPr>
            </w:pPr>
            <w:r w:rsidRPr="00567667">
              <w:rPr>
                <w:color w:val="000000"/>
                <w:sz w:val="20"/>
                <w:szCs w:val="20"/>
              </w:rPr>
              <w:t>Observations</w:t>
            </w:r>
          </w:p>
        </w:tc>
        <w:tc>
          <w:tcPr>
            <w:tcW w:w="1985" w:type="dxa"/>
            <w:tcBorders>
              <w:top w:val="single" w:sz="4" w:space="0" w:color="auto"/>
              <w:left w:val="nil"/>
              <w:right w:val="nil"/>
            </w:tcBorders>
            <w:shd w:val="clear" w:color="auto" w:fill="auto"/>
            <w:vAlign w:val="bottom"/>
          </w:tcPr>
          <w:p w:rsidR="00437B4D" w:rsidRPr="00567667" w:rsidRDefault="00437B4D" w:rsidP="002E40CF">
            <w:pPr>
              <w:jc w:val="center"/>
              <w:rPr>
                <w:color w:val="000000"/>
                <w:sz w:val="20"/>
                <w:szCs w:val="20"/>
              </w:rPr>
            </w:pPr>
            <w:r w:rsidRPr="00567667">
              <w:rPr>
                <w:color w:val="000000"/>
                <w:sz w:val="20"/>
                <w:szCs w:val="20"/>
              </w:rPr>
              <w:t>4,105</w:t>
            </w:r>
          </w:p>
        </w:tc>
      </w:tr>
      <w:tr w:rsidR="00437B4D" w:rsidRPr="00567667" w:rsidTr="00986A02">
        <w:trPr>
          <w:trHeight w:val="436"/>
        </w:trPr>
        <w:tc>
          <w:tcPr>
            <w:tcW w:w="2268" w:type="dxa"/>
            <w:tcBorders>
              <w:top w:val="nil"/>
              <w:left w:val="nil"/>
              <w:bottom w:val="single" w:sz="4" w:space="0" w:color="auto"/>
              <w:right w:val="nil"/>
            </w:tcBorders>
            <w:shd w:val="clear" w:color="auto" w:fill="auto"/>
            <w:noWrap/>
            <w:vAlign w:val="bottom"/>
          </w:tcPr>
          <w:p w:rsidR="00437B4D" w:rsidRPr="00567667" w:rsidRDefault="00437B4D" w:rsidP="002E40CF">
            <w:pPr>
              <w:rPr>
                <w:color w:val="000000"/>
                <w:sz w:val="20"/>
                <w:szCs w:val="20"/>
              </w:rPr>
            </w:pPr>
            <w:r w:rsidRPr="00567667">
              <w:rPr>
                <w:color w:val="000000"/>
                <w:sz w:val="20"/>
                <w:szCs w:val="20"/>
              </w:rPr>
              <w:t>R-squared</w:t>
            </w:r>
          </w:p>
        </w:tc>
        <w:tc>
          <w:tcPr>
            <w:tcW w:w="1985" w:type="dxa"/>
            <w:tcBorders>
              <w:top w:val="nil"/>
              <w:left w:val="nil"/>
              <w:bottom w:val="single" w:sz="4" w:space="0" w:color="auto"/>
              <w:right w:val="nil"/>
            </w:tcBorders>
            <w:shd w:val="clear" w:color="auto" w:fill="auto"/>
            <w:vAlign w:val="bottom"/>
          </w:tcPr>
          <w:p w:rsidR="00437B4D" w:rsidRPr="00567667" w:rsidRDefault="00437B4D" w:rsidP="002E40CF">
            <w:pPr>
              <w:jc w:val="center"/>
              <w:rPr>
                <w:color w:val="000000"/>
                <w:sz w:val="20"/>
                <w:szCs w:val="20"/>
              </w:rPr>
            </w:pPr>
            <w:r w:rsidRPr="00567667">
              <w:rPr>
                <w:color w:val="000000"/>
                <w:sz w:val="20"/>
                <w:szCs w:val="20"/>
              </w:rPr>
              <w:t>0.388</w:t>
            </w:r>
          </w:p>
        </w:tc>
      </w:tr>
      <w:bookmarkEnd w:id="66"/>
      <w:bookmarkEnd w:id="67"/>
    </w:tbl>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Default="00437B4D" w:rsidP="00437B4D">
      <w:pPr>
        <w:spacing w:line="276" w:lineRule="auto"/>
        <w:jc w:val="both"/>
      </w:pPr>
    </w:p>
    <w:p w:rsidR="00437B4D" w:rsidRPr="0069613F" w:rsidRDefault="00437B4D" w:rsidP="00437B4D">
      <w:pPr>
        <w:spacing w:line="276" w:lineRule="auto"/>
        <w:jc w:val="both"/>
      </w:pPr>
    </w:p>
    <w:p w:rsidR="00B73A70" w:rsidRDefault="00B73A70" w:rsidP="00437B4D">
      <w:pPr>
        <w:spacing w:line="276" w:lineRule="auto"/>
        <w:jc w:val="both"/>
      </w:pPr>
    </w:p>
    <w:p w:rsidR="00B73A70" w:rsidRDefault="00B73A70" w:rsidP="00437B4D">
      <w:pPr>
        <w:spacing w:line="276" w:lineRule="auto"/>
        <w:jc w:val="both"/>
      </w:pPr>
    </w:p>
    <w:p w:rsidR="00B73A70" w:rsidRDefault="00B73A70" w:rsidP="00437B4D">
      <w:pPr>
        <w:spacing w:line="276" w:lineRule="auto"/>
        <w:jc w:val="both"/>
      </w:pPr>
    </w:p>
    <w:p w:rsidR="00B73A70" w:rsidRDefault="00B73A70" w:rsidP="00437B4D">
      <w:pPr>
        <w:spacing w:line="276" w:lineRule="auto"/>
        <w:jc w:val="both"/>
      </w:pPr>
    </w:p>
    <w:p w:rsidR="00B73A70" w:rsidRDefault="00B73A70" w:rsidP="00437B4D">
      <w:pPr>
        <w:spacing w:line="276" w:lineRule="auto"/>
        <w:jc w:val="both"/>
      </w:pPr>
    </w:p>
    <w:p w:rsidR="00C964EA" w:rsidRDefault="00C964EA" w:rsidP="00437B4D">
      <w:pPr>
        <w:spacing w:line="276" w:lineRule="auto"/>
        <w:jc w:val="both"/>
        <w:rPr>
          <w:sz w:val="20"/>
          <w:szCs w:val="20"/>
        </w:rPr>
      </w:pPr>
    </w:p>
    <w:p w:rsidR="00B73A70" w:rsidRPr="001428F5" w:rsidRDefault="009F5FF6" w:rsidP="00437B4D">
      <w:pPr>
        <w:spacing w:line="276" w:lineRule="auto"/>
        <w:jc w:val="both"/>
        <w:rPr>
          <w:sz w:val="20"/>
          <w:szCs w:val="20"/>
        </w:rPr>
      </w:pPr>
      <w:r w:rsidRPr="001428F5">
        <w:rPr>
          <w:sz w:val="20"/>
          <w:szCs w:val="20"/>
        </w:rPr>
        <w:t xml:space="preserve">Notes: </w:t>
      </w:r>
      <w:r w:rsidRPr="001428F5">
        <w:rPr>
          <w:i/>
          <w:sz w:val="20"/>
          <w:szCs w:val="20"/>
        </w:rPr>
        <w:t>RE</w:t>
      </w:r>
      <w:r w:rsidRPr="001428F5">
        <w:rPr>
          <w:sz w:val="20"/>
          <w:szCs w:val="20"/>
        </w:rPr>
        <w:t xml:space="preserve"> refers to random effects model. Fixed effects model is not relevant when examining industry effect because the industry dummy variables would be dropped due to collinearity.</w:t>
      </w:r>
      <w:r w:rsidR="003E24BE" w:rsidRPr="001428F5">
        <w:rPr>
          <w:sz w:val="20"/>
          <w:szCs w:val="20"/>
        </w:rPr>
        <w:t xml:space="preserve"> Fixed effects model has already adjusted for firm-level differences.</w:t>
      </w:r>
    </w:p>
    <w:p w:rsidR="00B73A70" w:rsidRDefault="00B73A70" w:rsidP="00437B4D">
      <w:pPr>
        <w:spacing w:line="276" w:lineRule="auto"/>
        <w:jc w:val="both"/>
      </w:pPr>
    </w:p>
    <w:p w:rsidR="00FD638A" w:rsidRDefault="00FD638A">
      <w:pPr>
        <w:spacing w:line="276" w:lineRule="auto"/>
        <w:jc w:val="both"/>
      </w:pPr>
      <w:bookmarkStart w:id="68" w:name="OLE_LINK5"/>
      <w:bookmarkStart w:id="69" w:name="OLE_LINK6"/>
    </w:p>
    <w:p w:rsidR="00D64351" w:rsidRDefault="00D64351">
      <w:pPr>
        <w:spacing w:line="276" w:lineRule="auto"/>
        <w:jc w:val="both"/>
      </w:pPr>
    </w:p>
    <w:p w:rsidR="00D64351" w:rsidRDefault="00D64351">
      <w:pPr>
        <w:spacing w:line="276" w:lineRule="auto"/>
        <w:jc w:val="both"/>
      </w:pPr>
    </w:p>
    <w:p w:rsidR="00D64351" w:rsidRDefault="00D64351">
      <w:pPr>
        <w:spacing w:line="276" w:lineRule="auto"/>
        <w:jc w:val="both"/>
      </w:pPr>
    </w:p>
    <w:p w:rsidR="00D64351" w:rsidRDefault="00D64351">
      <w:pPr>
        <w:spacing w:line="276" w:lineRule="auto"/>
        <w:jc w:val="both"/>
      </w:pPr>
    </w:p>
    <w:p w:rsidR="00D32698" w:rsidRDefault="00DA5E1A">
      <w:pPr>
        <w:spacing w:line="276" w:lineRule="auto"/>
        <w:jc w:val="both"/>
      </w:pPr>
      <w:r>
        <w:t xml:space="preserve">Table </w:t>
      </w:r>
      <w:r w:rsidR="00437B4D">
        <w:t>4</w:t>
      </w:r>
      <w:r>
        <w:t xml:space="preserve">. </w:t>
      </w:r>
      <w:r w:rsidR="00EC5291">
        <w:t>Aggregate and industry leverage on profitability and time</w:t>
      </w:r>
    </w:p>
    <w:bookmarkEnd w:id="68"/>
    <w:bookmarkEnd w:id="69"/>
    <w:p w:rsidR="00D32698" w:rsidRDefault="00D32698" w:rsidP="00EC5291">
      <w:pPr>
        <w:spacing w:line="120" w:lineRule="auto"/>
        <w:jc w:val="both"/>
      </w:pPr>
    </w:p>
    <w:tbl>
      <w:tblPr>
        <w:tblpPr w:leftFromText="180" w:rightFromText="180" w:vertAnchor="text" w:horzAnchor="margin" w:tblpY="20"/>
        <w:tblW w:w="10490" w:type="dxa"/>
        <w:tblLayout w:type="fixed"/>
        <w:tblLook w:val="04A0" w:firstRow="1" w:lastRow="0" w:firstColumn="1" w:lastColumn="0" w:noHBand="0" w:noVBand="1"/>
      </w:tblPr>
      <w:tblGrid>
        <w:gridCol w:w="1315"/>
        <w:gridCol w:w="1557"/>
        <w:gridCol w:w="1447"/>
        <w:gridCol w:w="1210"/>
        <w:gridCol w:w="1701"/>
        <w:gridCol w:w="1166"/>
        <w:gridCol w:w="2094"/>
      </w:tblGrid>
      <w:tr w:rsidR="00567667" w:rsidRPr="00567667" w:rsidTr="00BE42D9">
        <w:trPr>
          <w:trHeight w:val="292"/>
        </w:trPr>
        <w:tc>
          <w:tcPr>
            <w:tcW w:w="10490" w:type="dxa"/>
            <w:gridSpan w:val="7"/>
            <w:tcBorders>
              <w:top w:val="nil"/>
              <w:left w:val="nil"/>
              <w:bottom w:val="single" w:sz="4" w:space="0" w:color="auto"/>
              <w:right w:val="nil"/>
            </w:tcBorders>
            <w:shd w:val="clear" w:color="auto" w:fill="auto"/>
            <w:noWrap/>
            <w:vAlign w:val="center"/>
            <w:hideMark/>
          </w:tcPr>
          <w:p w:rsidR="00567667" w:rsidRPr="00567667" w:rsidRDefault="00567667" w:rsidP="00BE42D9">
            <w:pPr>
              <w:jc w:val="center"/>
              <w:rPr>
                <w:color w:val="000000"/>
                <w:sz w:val="20"/>
                <w:szCs w:val="20"/>
              </w:rPr>
            </w:pPr>
            <w:bookmarkStart w:id="70" w:name="OLE_LINK7"/>
            <w:bookmarkStart w:id="71" w:name="OLE_LINK8"/>
            <w:r w:rsidRPr="00567667">
              <w:rPr>
                <w:color w:val="000000"/>
                <w:sz w:val="20"/>
                <w:szCs w:val="20"/>
              </w:rPr>
              <w:t>Debt/Assets</w:t>
            </w:r>
          </w:p>
        </w:tc>
      </w:tr>
      <w:tr w:rsidR="00567667" w:rsidRPr="00567667" w:rsidTr="00BE42D9">
        <w:trPr>
          <w:trHeight w:val="292"/>
        </w:trPr>
        <w:tc>
          <w:tcPr>
            <w:tcW w:w="1315" w:type="dxa"/>
            <w:tcBorders>
              <w:top w:val="single" w:sz="4" w:space="0" w:color="auto"/>
              <w:left w:val="nil"/>
              <w:bottom w:val="single" w:sz="4" w:space="0" w:color="auto"/>
              <w:right w:val="nil"/>
            </w:tcBorders>
            <w:shd w:val="clear" w:color="auto" w:fill="auto"/>
            <w:noWrap/>
            <w:vAlign w:val="center"/>
            <w:hideMark/>
          </w:tcPr>
          <w:p w:rsidR="00567667" w:rsidRPr="00567667" w:rsidRDefault="00567667" w:rsidP="00BE42D9">
            <w:pPr>
              <w:jc w:val="center"/>
              <w:rPr>
                <w:color w:val="000000"/>
                <w:sz w:val="20"/>
                <w:szCs w:val="20"/>
              </w:rPr>
            </w:pPr>
          </w:p>
        </w:tc>
        <w:tc>
          <w:tcPr>
            <w:tcW w:w="1557" w:type="dxa"/>
            <w:tcBorders>
              <w:top w:val="single" w:sz="4" w:space="0" w:color="auto"/>
              <w:left w:val="nil"/>
              <w:bottom w:val="single" w:sz="4" w:space="0" w:color="auto"/>
              <w:right w:val="nil"/>
            </w:tcBorders>
            <w:shd w:val="clear" w:color="auto" w:fill="auto"/>
            <w:noWrap/>
            <w:vAlign w:val="center"/>
            <w:hideMark/>
          </w:tcPr>
          <w:p w:rsidR="00BE42D9" w:rsidRDefault="00567667" w:rsidP="00BE42D9">
            <w:pPr>
              <w:jc w:val="center"/>
              <w:rPr>
                <w:color w:val="000000"/>
                <w:sz w:val="20"/>
                <w:szCs w:val="20"/>
              </w:rPr>
            </w:pPr>
            <w:r w:rsidRPr="00567667">
              <w:rPr>
                <w:color w:val="000000"/>
                <w:sz w:val="20"/>
                <w:szCs w:val="20"/>
              </w:rPr>
              <w:t>Aggregate</w:t>
            </w:r>
          </w:p>
          <w:p w:rsidR="00567667" w:rsidRPr="00567667" w:rsidRDefault="00567667" w:rsidP="00BE42D9">
            <w:pPr>
              <w:jc w:val="center"/>
              <w:rPr>
                <w:color w:val="000000"/>
                <w:sz w:val="20"/>
                <w:szCs w:val="20"/>
              </w:rPr>
            </w:pPr>
            <w:r w:rsidRPr="00567667">
              <w:rPr>
                <w:color w:val="000000"/>
                <w:sz w:val="20"/>
                <w:szCs w:val="20"/>
              </w:rPr>
              <w:t>(RE)</w:t>
            </w:r>
          </w:p>
        </w:tc>
        <w:tc>
          <w:tcPr>
            <w:tcW w:w="1447" w:type="dxa"/>
            <w:tcBorders>
              <w:top w:val="single" w:sz="4" w:space="0" w:color="auto"/>
              <w:left w:val="nil"/>
              <w:bottom w:val="single" w:sz="4" w:space="0" w:color="auto"/>
              <w:right w:val="nil"/>
            </w:tcBorders>
            <w:shd w:val="clear" w:color="auto" w:fill="auto"/>
            <w:noWrap/>
            <w:vAlign w:val="center"/>
            <w:hideMark/>
          </w:tcPr>
          <w:p w:rsidR="00567667" w:rsidRPr="00567667" w:rsidRDefault="00567667" w:rsidP="00BE42D9">
            <w:pPr>
              <w:jc w:val="center"/>
              <w:rPr>
                <w:color w:val="000000"/>
                <w:sz w:val="20"/>
                <w:szCs w:val="20"/>
              </w:rPr>
            </w:pPr>
            <w:r w:rsidRPr="00567667">
              <w:rPr>
                <w:color w:val="000000"/>
                <w:sz w:val="20"/>
                <w:szCs w:val="20"/>
              </w:rPr>
              <w:t>Aggregate (FE)</w:t>
            </w:r>
          </w:p>
        </w:tc>
        <w:tc>
          <w:tcPr>
            <w:tcW w:w="1210" w:type="dxa"/>
            <w:tcBorders>
              <w:top w:val="single" w:sz="4" w:space="0" w:color="auto"/>
              <w:left w:val="nil"/>
              <w:bottom w:val="single" w:sz="4" w:space="0" w:color="auto"/>
              <w:right w:val="nil"/>
            </w:tcBorders>
            <w:shd w:val="clear" w:color="auto" w:fill="auto"/>
            <w:noWrap/>
            <w:vAlign w:val="center"/>
            <w:hideMark/>
          </w:tcPr>
          <w:p w:rsidR="00567667" w:rsidRPr="00567667" w:rsidRDefault="00567667" w:rsidP="00BE42D9">
            <w:pPr>
              <w:jc w:val="center"/>
              <w:rPr>
                <w:color w:val="000000"/>
                <w:sz w:val="20"/>
                <w:szCs w:val="20"/>
              </w:rPr>
            </w:pPr>
            <w:r w:rsidRPr="00567667">
              <w:rPr>
                <w:color w:val="000000"/>
                <w:sz w:val="20"/>
                <w:szCs w:val="20"/>
              </w:rPr>
              <w:t>Real Estate (FE)</w:t>
            </w:r>
          </w:p>
        </w:tc>
        <w:tc>
          <w:tcPr>
            <w:tcW w:w="1701" w:type="dxa"/>
            <w:tcBorders>
              <w:top w:val="single" w:sz="4" w:space="0" w:color="auto"/>
              <w:left w:val="nil"/>
              <w:bottom w:val="single" w:sz="4" w:space="0" w:color="auto"/>
              <w:right w:val="nil"/>
            </w:tcBorders>
            <w:shd w:val="clear" w:color="auto" w:fill="auto"/>
            <w:noWrap/>
            <w:vAlign w:val="center"/>
            <w:hideMark/>
          </w:tcPr>
          <w:p w:rsidR="00BE42D9" w:rsidRDefault="00567667" w:rsidP="00BE42D9">
            <w:pPr>
              <w:jc w:val="center"/>
              <w:rPr>
                <w:color w:val="000000"/>
                <w:sz w:val="20"/>
                <w:szCs w:val="20"/>
              </w:rPr>
            </w:pPr>
            <w:r w:rsidRPr="00567667">
              <w:rPr>
                <w:color w:val="000000"/>
                <w:sz w:val="20"/>
                <w:szCs w:val="20"/>
              </w:rPr>
              <w:t>Construction</w:t>
            </w:r>
          </w:p>
          <w:p w:rsidR="00567667" w:rsidRPr="00567667" w:rsidRDefault="00567667" w:rsidP="00BE42D9">
            <w:pPr>
              <w:jc w:val="center"/>
              <w:rPr>
                <w:color w:val="000000"/>
                <w:sz w:val="20"/>
                <w:szCs w:val="20"/>
              </w:rPr>
            </w:pPr>
            <w:r w:rsidRPr="00567667">
              <w:rPr>
                <w:color w:val="000000"/>
                <w:sz w:val="20"/>
                <w:szCs w:val="20"/>
              </w:rPr>
              <w:t>(RE)</w:t>
            </w:r>
          </w:p>
        </w:tc>
        <w:tc>
          <w:tcPr>
            <w:tcW w:w="1166" w:type="dxa"/>
            <w:tcBorders>
              <w:top w:val="single" w:sz="4" w:space="0" w:color="auto"/>
              <w:left w:val="nil"/>
              <w:bottom w:val="single" w:sz="4" w:space="0" w:color="auto"/>
              <w:right w:val="nil"/>
            </w:tcBorders>
            <w:shd w:val="clear" w:color="auto" w:fill="auto"/>
            <w:noWrap/>
            <w:vAlign w:val="center"/>
            <w:hideMark/>
          </w:tcPr>
          <w:p w:rsidR="00BE42D9" w:rsidRDefault="00567667" w:rsidP="00BE42D9">
            <w:pPr>
              <w:jc w:val="center"/>
              <w:rPr>
                <w:color w:val="000000"/>
                <w:sz w:val="20"/>
                <w:szCs w:val="20"/>
              </w:rPr>
            </w:pPr>
            <w:r w:rsidRPr="00567667">
              <w:rPr>
                <w:color w:val="000000"/>
                <w:sz w:val="20"/>
                <w:szCs w:val="20"/>
              </w:rPr>
              <w:t>Info Tech</w:t>
            </w:r>
            <w:r w:rsidR="00BE42D9">
              <w:rPr>
                <w:color w:val="000000"/>
                <w:sz w:val="20"/>
                <w:szCs w:val="20"/>
              </w:rPr>
              <w:t xml:space="preserve"> </w:t>
            </w:r>
          </w:p>
          <w:p w:rsidR="00567667" w:rsidRPr="00567667" w:rsidRDefault="00567667" w:rsidP="00BE42D9">
            <w:pPr>
              <w:jc w:val="center"/>
              <w:rPr>
                <w:color w:val="000000"/>
                <w:sz w:val="20"/>
                <w:szCs w:val="20"/>
              </w:rPr>
            </w:pPr>
            <w:r w:rsidRPr="00567667">
              <w:rPr>
                <w:color w:val="000000"/>
                <w:sz w:val="20"/>
                <w:szCs w:val="20"/>
              </w:rPr>
              <w:t>(RE)</w:t>
            </w:r>
          </w:p>
        </w:tc>
        <w:tc>
          <w:tcPr>
            <w:tcW w:w="2094" w:type="dxa"/>
            <w:tcBorders>
              <w:top w:val="single" w:sz="4" w:space="0" w:color="auto"/>
              <w:left w:val="nil"/>
              <w:bottom w:val="single" w:sz="4" w:space="0" w:color="auto"/>
              <w:right w:val="nil"/>
            </w:tcBorders>
            <w:shd w:val="clear" w:color="auto" w:fill="auto"/>
            <w:noWrap/>
            <w:vAlign w:val="center"/>
            <w:hideMark/>
          </w:tcPr>
          <w:p w:rsidR="00567667" w:rsidRPr="00567667" w:rsidRDefault="00567667" w:rsidP="00BE42D9">
            <w:pPr>
              <w:jc w:val="center"/>
              <w:rPr>
                <w:color w:val="000000"/>
                <w:sz w:val="20"/>
                <w:szCs w:val="20"/>
              </w:rPr>
            </w:pPr>
            <w:r w:rsidRPr="00567667">
              <w:rPr>
                <w:color w:val="000000"/>
                <w:sz w:val="20"/>
                <w:szCs w:val="20"/>
              </w:rPr>
              <w:t>Manufacturing</w:t>
            </w:r>
            <w:r w:rsidR="00BE42D9">
              <w:rPr>
                <w:color w:val="000000"/>
                <w:sz w:val="20"/>
                <w:szCs w:val="20"/>
              </w:rPr>
              <w:t xml:space="preserve"> </w:t>
            </w:r>
            <w:r w:rsidRPr="00567667">
              <w:rPr>
                <w:color w:val="000000"/>
                <w:sz w:val="20"/>
                <w:szCs w:val="20"/>
              </w:rPr>
              <w:t>(RE)</w:t>
            </w:r>
          </w:p>
        </w:tc>
      </w:tr>
      <w:tr w:rsidR="00567667" w:rsidRPr="00567667" w:rsidTr="00BE42D9">
        <w:trPr>
          <w:trHeight w:val="586"/>
        </w:trPr>
        <w:tc>
          <w:tcPr>
            <w:tcW w:w="1315" w:type="dxa"/>
            <w:tcBorders>
              <w:top w:val="single" w:sz="4" w:space="0" w:color="auto"/>
              <w:left w:val="nil"/>
              <w:bottom w:val="nil"/>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Profitability</w:t>
            </w:r>
          </w:p>
        </w:tc>
        <w:tc>
          <w:tcPr>
            <w:tcW w:w="1557" w:type="dxa"/>
            <w:tcBorders>
              <w:top w:val="single" w:sz="4" w:space="0" w:color="auto"/>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-.0819***</w:t>
            </w:r>
            <w:r w:rsidRPr="00567667">
              <w:rPr>
                <w:color w:val="000000"/>
                <w:sz w:val="20"/>
                <w:szCs w:val="20"/>
              </w:rPr>
              <w:br/>
              <w:t>(.0069)</w:t>
            </w:r>
          </w:p>
        </w:tc>
        <w:tc>
          <w:tcPr>
            <w:tcW w:w="1447" w:type="dxa"/>
            <w:tcBorders>
              <w:top w:val="single" w:sz="4" w:space="0" w:color="auto"/>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-.0761***</w:t>
            </w:r>
            <w:r w:rsidRPr="00567667">
              <w:rPr>
                <w:color w:val="000000"/>
                <w:sz w:val="20"/>
                <w:szCs w:val="20"/>
              </w:rPr>
              <w:br/>
              <w:t>(.0071)</w:t>
            </w:r>
          </w:p>
        </w:tc>
        <w:tc>
          <w:tcPr>
            <w:tcW w:w="1210" w:type="dxa"/>
            <w:tcBorders>
              <w:top w:val="single" w:sz="4" w:space="0" w:color="auto"/>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-.0946***</w:t>
            </w:r>
            <w:r w:rsidRPr="00567667">
              <w:rPr>
                <w:color w:val="000000"/>
                <w:sz w:val="20"/>
                <w:szCs w:val="20"/>
              </w:rPr>
              <w:br/>
              <w:t>(.0300)</w:t>
            </w:r>
          </w:p>
        </w:tc>
        <w:tc>
          <w:tcPr>
            <w:tcW w:w="1701" w:type="dxa"/>
            <w:tcBorders>
              <w:top w:val="single" w:sz="4" w:space="0" w:color="auto"/>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-.1260</w:t>
            </w:r>
            <w:r w:rsidRPr="00567667">
              <w:rPr>
                <w:color w:val="000000"/>
                <w:sz w:val="20"/>
                <w:szCs w:val="20"/>
              </w:rPr>
              <w:br/>
              <w:t>(.0895)</w:t>
            </w:r>
          </w:p>
        </w:tc>
        <w:tc>
          <w:tcPr>
            <w:tcW w:w="1166" w:type="dxa"/>
            <w:tcBorders>
              <w:top w:val="single" w:sz="4" w:space="0" w:color="auto"/>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.1989</w:t>
            </w:r>
            <w:r w:rsidRPr="00567667">
              <w:rPr>
                <w:color w:val="000000"/>
                <w:sz w:val="20"/>
                <w:szCs w:val="20"/>
              </w:rPr>
              <w:br/>
              <w:t>(.3213)</w:t>
            </w:r>
          </w:p>
        </w:tc>
        <w:tc>
          <w:tcPr>
            <w:tcW w:w="2094" w:type="dxa"/>
            <w:tcBorders>
              <w:top w:val="single" w:sz="4" w:space="0" w:color="auto"/>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-.0369***</w:t>
            </w:r>
            <w:r w:rsidRPr="00567667">
              <w:rPr>
                <w:color w:val="000000"/>
                <w:sz w:val="20"/>
                <w:szCs w:val="20"/>
              </w:rPr>
              <w:br/>
              <w:t>(.0095)</w:t>
            </w:r>
          </w:p>
        </w:tc>
      </w:tr>
      <w:tr w:rsidR="00567667" w:rsidRPr="00567667" w:rsidTr="00BE42D9">
        <w:trPr>
          <w:trHeight w:val="500"/>
        </w:trPr>
        <w:tc>
          <w:tcPr>
            <w:tcW w:w="1315" w:type="dxa"/>
            <w:tcBorders>
              <w:top w:val="nil"/>
              <w:left w:val="nil"/>
              <w:bottom w:val="nil"/>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t1</w:t>
            </w:r>
          </w:p>
        </w:tc>
        <w:tc>
          <w:tcPr>
            <w:tcW w:w="155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-4.1896</w:t>
            </w:r>
            <w:r w:rsidRPr="00567667">
              <w:rPr>
                <w:color w:val="000000"/>
                <w:sz w:val="20"/>
                <w:szCs w:val="20"/>
              </w:rPr>
              <w:br/>
              <w:t>(3.3612)</w:t>
            </w:r>
          </w:p>
        </w:tc>
        <w:tc>
          <w:tcPr>
            <w:tcW w:w="144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-2.6617</w:t>
            </w:r>
            <w:r w:rsidRPr="00567667">
              <w:rPr>
                <w:color w:val="000000"/>
                <w:sz w:val="20"/>
                <w:szCs w:val="20"/>
              </w:rPr>
              <w:br/>
              <w:t>(3.4374)</w:t>
            </w:r>
          </w:p>
        </w:tc>
        <w:tc>
          <w:tcPr>
            <w:tcW w:w="1210" w:type="dxa"/>
            <w:tcBorders>
              <w:top w:val="nil"/>
              <w:left w:val="nil"/>
              <w:bottom w:val="nil"/>
              <w:right w:val="nil"/>
            </w:tcBorders>
            <w:shd w:val="clear" w:color="auto" w:fill="auto"/>
            <w:noWrap/>
            <w:vAlign w:val="bottom"/>
            <w:hideMark/>
          </w:tcPr>
          <w:p w:rsidR="00567667" w:rsidRPr="00567667" w:rsidRDefault="00567667" w:rsidP="00BE42D9">
            <w:pPr>
              <w:jc w:val="center"/>
              <w:rPr>
                <w:color w:val="000000"/>
                <w:sz w:val="20"/>
                <w:szCs w:val="20"/>
              </w:rPr>
            </w:pPr>
          </w:p>
        </w:tc>
        <w:tc>
          <w:tcPr>
            <w:tcW w:w="1701" w:type="dxa"/>
            <w:tcBorders>
              <w:top w:val="nil"/>
              <w:left w:val="nil"/>
              <w:bottom w:val="nil"/>
              <w:right w:val="nil"/>
            </w:tcBorders>
            <w:shd w:val="clear" w:color="auto" w:fill="auto"/>
            <w:noWrap/>
            <w:vAlign w:val="bottom"/>
            <w:hideMark/>
          </w:tcPr>
          <w:p w:rsidR="00567667" w:rsidRPr="00567667" w:rsidRDefault="00567667" w:rsidP="00BE42D9">
            <w:pPr>
              <w:jc w:val="center"/>
              <w:rPr>
                <w:sz w:val="20"/>
                <w:szCs w:val="20"/>
              </w:rPr>
            </w:pPr>
          </w:p>
        </w:tc>
        <w:tc>
          <w:tcPr>
            <w:tcW w:w="1166" w:type="dxa"/>
            <w:tcBorders>
              <w:top w:val="nil"/>
              <w:left w:val="nil"/>
              <w:bottom w:val="nil"/>
              <w:right w:val="nil"/>
            </w:tcBorders>
            <w:shd w:val="clear" w:color="auto" w:fill="auto"/>
            <w:noWrap/>
            <w:vAlign w:val="bottom"/>
            <w:hideMark/>
          </w:tcPr>
          <w:p w:rsidR="00567667" w:rsidRPr="00567667" w:rsidRDefault="00567667" w:rsidP="00BE42D9">
            <w:pPr>
              <w:jc w:val="center"/>
              <w:rPr>
                <w:sz w:val="20"/>
                <w:szCs w:val="20"/>
              </w:rPr>
            </w:pPr>
          </w:p>
        </w:tc>
        <w:tc>
          <w:tcPr>
            <w:tcW w:w="2094"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-2.5479</w:t>
            </w:r>
            <w:r w:rsidRPr="00567667">
              <w:rPr>
                <w:color w:val="000000"/>
                <w:sz w:val="20"/>
                <w:szCs w:val="20"/>
              </w:rPr>
              <w:br/>
              <w:t>(4.0655)</w:t>
            </w:r>
          </w:p>
        </w:tc>
      </w:tr>
      <w:tr w:rsidR="00567667" w:rsidRPr="00567667" w:rsidTr="00BE42D9">
        <w:trPr>
          <w:trHeight w:val="623"/>
        </w:trPr>
        <w:tc>
          <w:tcPr>
            <w:tcW w:w="1315" w:type="dxa"/>
            <w:tcBorders>
              <w:top w:val="nil"/>
              <w:left w:val="nil"/>
              <w:bottom w:val="nil"/>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t2</w:t>
            </w:r>
          </w:p>
        </w:tc>
        <w:tc>
          <w:tcPr>
            <w:tcW w:w="155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1.1950</w:t>
            </w:r>
            <w:r w:rsidRPr="00567667">
              <w:rPr>
                <w:color w:val="000000"/>
                <w:sz w:val="20"/>
                <w:szCs w:val="20"/>
              </w:rPr>
              <w:br/>
              <w:t>(2.4143)</w:t>
            </w:r>
          </w:p>
        </w:tc>
        <w:tc>
          <w:tcPr>
            <w:tcW w:w="144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3.4004</w:t>
            </w:r>
            <w:r w:rsidRPr="00567667">
              <w:rPr>
                <w:color w:val="000000"/>
                <w:sz w:val="20"/>
                <w:szCs w:val="20"/>
              </w:rPr>
              <w:br/>
              <w:t>(2.5424)</w:t>
            </w:r>
          </w:p>
        </w:tc>
        <w:tc>
          <w:tcPr>
            <w:tcW w:w="1210" w:type="dxa"/>
            <w:tcBorders>
              <w:top w:val="nil"/>
              <w:left w:val="nil"/>
              <w:bottom w:val="nil"/>
              <w:right w:val="nil"/>
            </w:tcBorders>
            <w:shd w:val="clear" w:color="auto" w:fill="auto"/>
            <w:noWrap/>
            <w:vAlign w:val="bottom"/>
            <w:hideMark/>
          </w:tcPr>
          <w:p w:rsidR="00567667" w:rsidRPr="00567667" w:rsidRDefault="00567667" w:rsidP="00BE42D9">
            <w:pPr>
              <w:jc w:val="center"/>
              <w:rPr>
                <w:color w:val="000000"/>
                <w:sz w:val="20"/>
                <w:szCs w:val="20"/>
              </w:rPr>
            </w:pPr>
          </w:p>
        </w:tc>
        <w:tc>
          <w:tcPr>
            <w:tcW w:w="1701" w:type="dxa"/>
            <w:tcBorders>
              <w:top w:val="nil"/>
              <w:left w:val="nil"/>
              <w:bottom w:val="nil"/>
              <w:right w:val="nil"/>
            </w:tcBorders>
            <w:shd w:val="clear" w:color="auto" w:fill="auto"/>
            <w:noWrap/>
            <w:vAlign w:val="bottom"/>
            <w:hideMark/>
          </w:tcPr>
          <w:p w:rsidR="00567667" w:rsidRPr="00567667" w:rsidRDefault="00567667" w:rsidP="00BE42D9">
            <w:pPr>
              <w:jc w:val="center"/>
              <w:rPr>
                <w:sz w:val="20"/>
                <w:szCs w:val="20"/>
              </w:rPr>
            </w:pPr>
          </w:p>
        </w:tc>
        <w:tc>
          <w:tcPr>
            <w:tcW w:w="1166" w:type="dxa"/>
            <w:tcBorders>
              <w:top w:val="nil"/>
              <w:left w:val="nil"/>
              <w:bottom w:val="nil"/>
              <w:right w:val="nil"/>
            </w:tcBorders>
            <w:shd w:val="clear" w:color="auto" w:fill="auto"/>
            <w:noWrap/>
            <w:vAlign w:val="bottom"/>
            <w:hideMark/>
          </w:tcPr>
          <w:p w:rsidR="00567667" w:rsidRPr="00567667" w:rsidRDefault="00567667" w:rsidP="00BE42D9">
            <w:pPr>
              <w:jc w:val="center"/>
              <w:rPr>
                <w:sz w:val="20"/>
                <w:szCs w:val="20"/>
              </w:rPr>
            </w:pPr>
          </w:p>
        </w:tc>
        <w:tc>
          <w:tcPr>
            <w:tcW w:w="2094"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5.5143***</w:t>
            </w:r>
            <w:r w:rsidRPr="00567667">
              <w:rPr>
                <w:color w:val="000000"/>
                <w:sz w:val="20"/>
                <w:szCs w:val="20"/>
              </w:rPr>
              <w:br/>
              <w:t>(3.0693)</w:t>
            </w:r>
          </w:p>
        </w:tc>
      </w:tr>
      <w:tr w:rsidR="00567667" w:rsidRPr="00567667" w:rsidTr="00BE42D9">
        <w:trPr>
          <w:trHeight w:val="623"/>
        </w:trPr>
        <w:tc>
          <w:tcPr>
            <w:tcW w:w="1315" w:type="dxa"/>
            <w:tcBorders>
              <w:top w:val="nil"/>
              <w:left w:val="nil"/>
              <w:bottom w:val="nil"/>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t3</w:t>
            </w:r>
          </w:p>
        </w:tc>
        <w:tc>
          <w:tcPr>
            <w:tcW w:w="155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1.3707</w:t>
            </w:r>
            <w:r w:rsidRPr="00567667">
              <w:rPr>
                <w:color w:val="000000"/>
                <w:sz w:val="20"/>
                <w:szCs w:val="20"/>
              </w:rPr>
              <w:br/>
              <w:t>(2.4295)</w:t>
            </w:r>
          </w:p>
        </w:tc>
        <w:tc>
          <w:tcPr>
            <w:tcW w:w="144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3.6365</w:t>
            </w:r>
            <w:r w:rsidRPr="00567667">
              <w:rPr>
                <w:color w:val="000000"/>
                <w:sz w:val="20"/>
                <w:szCs w:val="20"/>
              </w:rPr>
              <w:br/>
              <w:t>(2.5230)</w:t>
            </w:r>
          </w:p>
        </w:tc>
        <w:tc>
          <w:tcPr>
            <w:tcW w:w="1210" w:type="dxa"/>
            <w:tcBorders>
              <w:top w:val="nil"/>
              <w:left w:val="nil"/>
              <w:bottom w:val="nil"/>
              <w:right w:val="nil"/>
            </w:tcBorders>
            <w:shd w:val="clear" w:color="auto" w:fill="auto"/>
            <w:noWrap/>
            <w:vAlign w:val="bottom"/>
            <w:hideMark/>
          </w:tcPr>
          <w:p w:rsidR="00567667" w:rsidRPr="00567667" w:rsidRDefault="00567667" w:rsidP="00BE42D9">
            <w:pPr>
              <w:jc w:val="center"/>
              <w:rPr>
                <w:color w:val="000000"/>
                <w:sz w:val="20"/>
                <w:szCs w:val="20"/>
              </w:rPr>
            </w:pPr>
          </w:p>
        </w:tc>
        <w:tc>
          <w:tcPr>
            <w:tcW w:w="1701" w:type="dxa"/>
            <w:tcBorders>
              <w:top w:val="nil"/>
              <w:left w:val="nil"/>
              <w:bottom w:val="nil"/>
              <w:right w:val="nil"/>
            </w:tcBorders>
            <w:shd w:val="clear" w:color="auto" w:fill="auto"/>
            <w:noWrap/>
            <w:vAlign w:val="bottom"/>
            <w:hideMark/>
          </w:tcPr>
          <w:p w:rsidR="00567667" w:rsidRPr="00567667" w:rsidRDefault="00567667" w:rsidP="00BE42D9">
            <w:pPr>
              <w:jc w:val="center"/>
              <w:rPr>
                <w:sz w:val="20"/>
                <w:szCs w:val="20"/>
              </w:rPr>
            </w:pPr>
          </w:p>
        </w:tc>
        <w:tc>
          <w:tcPr>
            <w:tcW w:w="1166" w:type="dxa"/>
            <w:tcBorders>
              <w:top w:val="nil"/>
              <w:left w:val="nil"/>
              <w:bottom w:val="nil"/>
              <w:right w:val="nil"/>
            </w:tcBorders>
            <w:shd w:val="clear" w:color="auto" w:fill="auto"/>
            <w:noWrap/>
            <w:vAlign w:val="bottom"/>
            <w:hideMark/>
          </w:tcPr>
          <w:p w:rsidR="00567667" w:rsidRPr="00567667" w:rsidRDefault="00567667" w:rsidP="00BE42D9">
            <w:pPr>
              <w:jc w:val="center"/>
              <w:rPr>
                <w:sz w:val="20"/>
                <w:szCs w:val="20"/>
              </w:rPr>
            </w:pPr>
          </w:p>
        </w:tc>
        <w:tc>
          <w:tcPr>
            <w:tcW w:w="2094"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8.7896***</w:t>
            </w:r>
            <w:r w:rsidRPr="00567667">
              <w:rPr>
                <w:color w:val="000000"/>
                <w:sz w:val="20"/>
                <w:szCs w:val="20"/>
              </w:rPr>
              <w:br/>
              <w:t>(3.2205)</w:t>
            </w:r>
          </w:p>
        </w:tc>
      </w:tr>
      <w:tr w:rsidR="00567667" w:rsidRPr="00567667" w:rsidTr="00BE42D9">
        <w:trPr>
          <w:trHeight w:val="623"/>
        </w:trPr>
        <w:tc>
          <w:tcPr>
            <w:tcW w:w="1315" w:type="dxa"/>
            <w:tcBorders>
              <w:top w:val="nil"/>
              <w:left w:val="nil"/>
              <w:bottom w:val="nil"/>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t4</w:t>
            </w:r>
          </w:p>
        </w:tc>
        <w:tc>
          <w:tcPr>
            <w:tcW w:w="155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.41271</w:t>
            </w:r>
            <w:r w:rsidRPr="00567667">
              <w:rPr>
                <w:color w:val="000000"/>
                <w:sz w:val="20"/>
                <w:szCs w:val="20"/>
              </w:rPr>
              <w:br/>
              <w:t>(2.2731)</w:t>
            </w:r>
          </w:p>
        </w:tc>
        <w:tc>
          <w:tcPr>
            <w:tcW w:w="144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2.7785</w:t>
            </w:r>
            <w:r w:rsidRPr="00567667">
              <w:rPr>
                <w:color w:val="000000"/>
                <w:sz w:val="20"/>
                <w:szCs w:val="20"/>
              </w:rPr>
              <w:br/>
              <w:t>(2.3763)</w:t>
            </w:r>
          </w:p>
        </w:tc>
        <w:tc>
          <w:tcPr>
            <w:tcW w:w="1210" w:type="dxa"/>
            <w:tcBorders>
              <w:top w:val="nil"/>
              <w:left w:val="nil"/>
              <w:bottom w:val="nil"/>
              <w:right w:val="nil"/>
            </w:tcBorders>
            <w:shd w:val="clear" w:color="auto" w:fill="auto"/>
            <w:noWrap/>
            <w:vAlign w:val="bottom"/>
            <w:hideMark/>
          </w:tcPr>
          <w:p w:rsidR="00567667" w:rsidRPr="00567667" w:rsidRDefault="00567667" w:rsidP="00BE42D9">
            <w:pPr>
              <w:jc w:val="center"/>
              <w:rPr>
                <w:color w:val="000000"/>
                <w:sz w:val="20"/>
                <w:szCs w:val="20"/>
              </w:rPr>
            </w:pPr>
          </w:p>
        </w:tc>
        <w:tc>
          <w:tcPr>
            <w:tcW w:w="1701" w:type="dxa"/>
            <w:tcBorders>
              <w:top w:val="nil"/>
              <w:left w:val="nil"/>
              <w:bottom w:val="nil"/>
              <w:right w:val="nil"/>
            </w:tcBorders>
            <w:shd w:val="clear" w:color="auto" w:fill="auto"/>
            <w:noWrap/>
            <w:vAlign w:val="bottom"/>
            <w:hideMark/>
          </w:tcPr>
          <w:p w:rsidR="00567667" w:rsidRPr="00567667" w:rsidRDefault="00567667" w:rsidP="00BE42D9">
            <w:pPr>
              <w:jc w:val="center"/>
              <w:rPr>
                <w:sz w:val="20"/>
                <w:szCs w:val="20"/>
              </w:rPr>
            </w:pPr>
          </w:p>
        </w:tc>
        <w:tc>
          <w:tcPr>
            <w:tcW w:w="1166" w:type="dxa"/>
            <w:tcBorders>
              <w:top w:val="nil"/>
              <w:left w:val="nil"/>
              <w:bottom w:val="nil"/>
              <w:right w:val="nil"/>
            </w:tcBorders>
            <w:shd w:val="clear" w:color="auto" w:fill="auto"/>
            <w:noWrap/>
            <w:vAlign w:val="bottom"/>
            <w:hideMark/>
          </w:tcPr>
          <w:p w:rsidR="00567667" w:rsidRPr="00567667" w:rsidRDefault="00567667" w:rsidP="00BE42D9">
            <w:pPr>
              <w:jc w:val="center"/>
              <w:rPr>
                <w:sz w:val="20"/>
                <w:szCs w:val="20"/>
              </w:rPr>
            </w:pPr>
          </w:p>
        </w:tc>
        <w:tc>
          <w:tcPr>
            <w:tcW w:w="2094"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7.7372***</w:t>
            </w:r>
            <w:r w:rsidRPr="00567667">
              <w:rPr>
                <w:color w:val="000000"/>
                <w:sz w:val="20"/>
                <w:szCs w:val="20"/>
              </w:rPr>
              <w:br/>
              <w:t>(3.2544)</w:t>
            </w:r>
          </w:p>
        </w:tc>
      </w:tr>
      <w:tr w:rsidR="00567667" w:rsidRPr="00567667" w:rsidTr="00BE42D9">
        <w:trPr>
          <w:trHeight w:val="623"/>
        </w:trPr>
        <w:tc>
          <w:tcPr>
            <w:tcW w:w="1315" w:type="dxa"/>
            <w:tcBorders>
              <w:top w:val="nil"/>
              <w:left w:val="nil"/>
              <w:bottom w:val="nil"/>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t5</w:t>
            </w:r>
          </w:p>
        </w:tc>
        <w:tc>
          <w:tcPr>
            <w:tcW w:w="155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4.5965**</w:t>
            </w:r>
            <w:r w:rsidRPr="00567667">
              <w:rPr>
                <w:color w:val="000000"/>
                <w:sz w:val="20"/>
                <w:szCs w:val="20"/>
              </w:rPr>
              <w:br/>
              <w:t>(2.1088)</w:t>
            </w:r>
          </w:p>
        </w:tc>
        <w:tc>
          <w:tcPr>
            <w:tcW w:w="144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7.2766***</w:t>
            </w:r>
            <w:r w:rsidRPr="00567667">
              <w:rPr>
                <w:color w:val="000000"/>
                <w:sz w:val="20"/>
                <w:szCs w:val="20"/>
              </w:rPr>
              <w:br/>
              <w:t>(2.2153)</w:t>
            </w:r>
          </w:p>
        </w:tc>
        <w:tc>
          <w:tcPr>
            <w:tcW w:w="1210" w:type="dxa"/>
            <w:tcBorders>
              <w:top w:val="nil"/>
              <w:left w:val="nil"/>
              <w:bottom w:val="nil"/>
              <w:right w:val="nil"/>
            </w:tcBorders>
            <w:shd w:val="clear" w:color="auto" w:fill="auto"/>
            <w:noWrap/>
            <w:vAlign w:val="bottom"/>
            <w:hideMark/>
          </w:tcPr>
          <w:p w:rsidR="00567667" w:rsidRPr="00567667" w:rsidRDefault="00567667" w:rsidP="00BE42D9">
            <w:pPr>
              <w:jc w:val="center"/>
              <w:rPr>
                <w:color w:val="000000"/>
                <w:sz w:val="20"/>
                <w:szCs w:val="20"/>
              </w:rPr>
            </w:pPr>
          </w:p>
        </w:tc>
        <w:tc>
          <w:tcPr>
            <w:tcW w:w="1701"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18.2871***</w:t>
            </w:r>
            <w:r w:rsidRPr="00567667">
              <w:rPr>
                <w:color w:val="000000"/>
                <w:sz w:val="20"/>
                <w:szCs w:val="20"/>
              </w:rPr>
              <w:br/>
              <w:t>(4.8328)</w:t>
            </w:r>
          </w:p>
        </w:tc>
        <w:tc>
          <w:tcPr>
            <w:tcW w:w="1166" w:type="dxa"/>
            <w:tcBorders>
              <w:top w:val="nil"/>
              <w:left w:val="nil"/>
              <w:bottom w:val="nil"/>
              <w:right w:val="nil"/>
            </w:tcBorders>
            <w:shd w:val="clear" w:color="auto" w:fill="auto"/>
            <w:noWrap/>
            <w:vAlign w:val="bottom"/>
            <w:hideMark/>
          </w:tcPr>
          <w:p w:rsidR="00567667" w:rsidRPr="00567667" w:rsidRDefault="00567667" w:rsidP="00BE42D9">
            <w:pPr>
              <w:jc w:val="center"/>
              <w:rPr>
                <w:color w:val="000000"/>
                <w:sz w:val="20"/>
                <w:szCs w:val="20"/>
              </w:rPr>
            </w:pPr>
          </w:p>
        </w:tc>
        <w:tc>
          <w:tcPr>
            <w:tcW w:w="2094"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6.7935***</w:t>
            </w:r>
            <w:r w:rsidRPr="00567667">
              <w:rPr>
                <w:color w:val="000000"/>
                <w:sz w:val="20"/>
                <w:szCs w:val="20"/>
              </w:rPr>
              <w:br/>
              <w:t>(3.1683)</w:t>
            </w:r>
          </w:p>
        </w:tc>
      </w:tr>
      <w:tr w:rsidR="00567667" w:rsidRPr="00567667" w:rsidTr="00BE42D9">
        <w:trPr>
          <w:trHeight w:val="623"/>
        </w:trPr>
        <w:tc>
          <w:tcPr>
            <w:tcW w:w="1315" w:type="dxa"/>
            <w:tcBorders>
              <w:top w:val="nil"/>
              <w:left w:val="nil"/>
              <w:bottom w:val="nil"/>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t6</w:t>
            </w:r>
          </w:p>
        </w:tc>
        <w:tc>
          <w:tcPr>
            <w:tcW w:w="155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5.5836**</w:t>
            </w:r>
            <w:r w:rsidRPr="00567667">
              <w:rPr>
                <w:color w:val="000000"/>
                <w:sz w:val="20"/>
                <w:szCs w:val="20"/>
              </w:rPr>
              <w:br/>
              <w:t>(2.1893)</w:t>
            </w:r>
          </w:p>
        </w:tc>
        <w:tc>
          <w:tcPr>
            <w:tcW w:w="144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8.2846***</w:t>
            </w:r>
            <w:r w:rsidRPr="00567667">
              <w:rPr>
                <w:color w:val="000000"/>
                <w:sz w:val="20"/>
                <w:szCs w:val="20"/>
              </w:rPr>
              <w:br/>
              <w:t>(2.2697)</w:t>
            </w:r>
          </w:p>
        </w:tc>
        <w:tc>
          <w:tcPr>
            <w:tcW w:w="1210" w:type="dxa"/>
            <w:tcBorders>
              <w:top w:val="nil"/>
              <w:left w:val="nil"/>
              <w:bottom w:val="nil"/>
              <w:right w:val="nil"/>
            </w:tcBorders>
            <w:shd w:val="clear" w:color="auto" w:fill="auto"/>
            <w:noWrap/>
            <w:vAlign w:val="bottom"/>
            <w:hideMark/>
          </w:tcPr>
          <w:p w:rsidR="00567667" w:rsidRPr="00567667" w:rsidRDefault="00567667" w:rsidP="00BE42D9">
            <w:pPr>
              <w:jc w:val="center"/>
              <w:rPr>
                <w:color w:val="000000"/>
                <w:sz w:val="20"/>
                <w:szCs w:val="20"/>
              </w:rPr>
            </w:pPr>
          </w:p>
        </w:tc>
        <w:tc>
          <w:tcPr>
            <w:tcW w:w="1701"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14.9640***</w:t>
            </w:r>
            <w:r w:rsidRPr="00567667">
              <w:rPr>
                <w:color w:val="000000"/>
                <w:sz w:val="20"/>
                <w:szCs w:val="20"/>
              </w:rPr>
              <w:br/>
              <w:t>(4.8573)</w:t>
            </w:r>
          </w:p>
        </w:tc>
        <w:tc>
          <w:tcPr>
            <w:tcW w:w="1166" w:type="dxa"/>
            <w:tcBorders>
              <w:top w:val="nil"/>
              <w:left w:val="nil"/>
              <w:bottom w:val="nil"/>
              <w:right w:val="nil"/>
            </w:tcBorders>
            <w:shd w:val="clear" w:color="auto" w:fill="auto"/>
            <w:noWrap/>
            <w:vAlign w:val="bottom"/>
            <w:hideMark/>
          </w:tcPr>
          <w:p w:rsidR="00567667" w:rsidRPr="00567667" w:rsidRDefault="00567667" w:rsidP="00BE42D9">
            <w:pPr>
              <w:jc w:val="center"/>
              <w:rPr>
                <w:color w:val="000000"/>
                <w:sz w:val="20"/>
                <w:szCs w:val="20"/>
              </w:rPr>
            </w:pPr>
          </w:p>
        </w:tc>
        <w:tc>
          <w:tcPr>
            <w:tcW w:w="2094"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3.3505</w:t>
            </w:r>
            <w:r w:rsidRPr="00567667">
              <w:rPr>
                <w:color w:val="000000"/>
                <w:sz w:val="20"/>
                <w:szCs w:val="20"/>
              </w:rPr>
              <w:br/>
              <w:t>(3.6645)</w:t>
            </w:r>
          </w:p>
        </w:tc>
      </w:tr>
      <w:tr w:rsidR="00567667" w:rsidRPr="00567667" w:rsidTr="00BE42D9">
        <w:trPr>
          <w:trHeight w:val="623"/>
        </w:trPr>
        <w:tc>
          <w:tcPr>
            <w:tcW w:w="1315" w:type="dxa"/>
            <w:tcBorders>
              <w:top w:val="nil"/>
              <w:left w:val="nil"/>
              <w:bottom w:val="nil"/>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t7</w:t>
            </w:r>
          </w:p>
        </w:tc>
        <w:tc>
          <w:tcPr>
            <w:tcW w:w="155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6.0579***</w:t>
            </w:r>
            <w:r w:rsidRPr="00567667">
              <w:rPr>
                <w:color w:val="000000"/>
                <w:sz w:val="20"/>
                <w:szCs w:val="20"/>
              </w:rPr>
              <w:br/>
              <w:t>(1.7689)</w:t>
            </w:r>
          </w:p>
        </w:tc>
        <w:tc>
          <w:tcPr>
            <w:tcW w:w="144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8.190***</w:t>
            </w:r>
            <w:r w:rsidRPr="00567667">
              <w:rPr>
                <w:color w:val="000000"/>
                <w:sz w:val="20"/>
                <w:szCs w:val="20"/>
              </w:rPr>
              <w:br/>
              <w:t>(1.8496)</w:t>
            </w:r>
          </w:p>
        </w:tc>
        <w:tc>
          <w:tcPr>
            <w:tcW w:w="1210" w:type="dxa"/>
            <w:tcBorders>
              <w:top w:val="nil"/>
              <w:left w:val="nil"/>
              <w:bottom w:val="nil"/>
              <w:right w:val="nil"/>
            </w:tcBorders>
            <w:shd w:val="clear" w:color="auto" w:fill="auto"/>
            <w:noWrap/>
            <w:vAlign w:val="bottom"/>
            <w:hideMark/>
          </w:tcPr>
          <w:p w:rsidR="00567667" w:rsidRPr="00567667" w:rsidRDefault="00567667" w:rsidP="00BE42D9">
            <w:pPr>
              <w:jc w:val="center"/>
              <w:rPr>
                <w:color w:val="000000"/>
                <w:sz w:val="20"/>
                <w:szCs w:val="20"/>
              </w:rPr>
            </w:pPr>
          </w:p>
        </w:tc>
        <w:tc>
          <w:tcPr>
            <w:tcW w:w="1701"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14.5252***</w:t>
            </w:r>
            <w:r w:rsidRPr="00567667">
              <w:rPr>
                <w:color w:val="000000"/>
                <w:sz w:val="20"/>
                <w:szCs w:val="20"/>
              </w:rPr>
              <w:br/>
              <w:t>(4.7324)</w:t>
            </w:r>
          </w:p>
        </w:tc>
        <w:tc>
          <w:tcPr>
            <w:tcW w:w="1166" w:type="dxa"/>
            <w:tcBorders>
              <w:top w:val="nil"/>
              <w:left w:val="nil"/>
              <w:bottom w:val="nil"/>
              <w:right w:val="nil"/>
            </w:tcBorders>
            <w:shd w:val="clear" w:color="auto" w:fill="auto"/>
            <w:noWrap/>
            <w:vAlign w:val="bottom"/>
            <w:hideMark/>
          </w:tcPr>
          <w:p w:rsidR="00567667" w:rsidRPr="00567667" w:rsidRDefault="00567667" w:rsidP="00BE42D9">
            <w:pPr>
              <w:jc w:val="center"/>
              <w:rPr>
                <w:color w:val="000000"/>
                <w:sz w:val="20"/>
                <w:szCs w:val="20"/>
              </w:rPr>
            </w:pPr>
          </w:p>
        </w:tc>
        <w:tc>
          <w:tcPr>
            <w:tcW w:w="2094"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9.6982***</w:t>
            </w:r>
            <w:r w:rsidRPr="00567667">
              <w:rPr>
                <w:color w:val="000000"/>
                <w:sz w:val="20"/>
                <w:szCs w:val="20"/>
              </w:rPr>
              <w:br/>
              <w:t>(2.8843)</w:t>
            </w:r>
          </w:p>
        </w:tc>
      </w:tr>
      <w:tr w:rsidR="00567667" w:rsidRPr="00567667" w:rsidTr="00BE42D9">
        <w:trPr>
          <w:trHeight w:val="623"/>
        </w:trPr>
        <w:tc>
          <w:tcPr>
            <w:tcW w:w="1315" w:type="dxa"/>
            <w:tcBorders>
              <w:top w:val="nil"/>
              <w:left w:val="nil"/>
              <w:bottom w:val="nil"/>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t8</w:t>
            </w:r>
          </w:p>
        </w:tc>
        <w:tc>
          <w:tcPr>
            <w:tcW w:w="155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5.0102***</w:t>
            </w:r>
            <w:r w:rsidRPr="00567667">
              <w:rPr>
                <w:color w:val="000000"/>
                <w:sz w:val="20"/>
                <w:szCs w:val="20"/>
              </w:rPr>
              <w:br/>
              <w:t>(.82488)</w:t>
            </w:r>
          </w:p>
        </w:tc>
        <w:tc>
          <w:tcPr>
            <w:tcW w:w="144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5.800***</w:t>
            </w:r>
            <w:r w:rsidRPr="00567667">
              <w:rPr>
                <w:color w:val="000000"/>
                <w:sz w:val="20"/>
                <w:szCs w:val="20"/>
              </w:rPr>
              <w:br/>
              <w:t>(.9682)</w:t>
            </w:r>
          </w:p>
        </w:tc>
        <w:tc>
          <w:tcPr>
            <w:tcW w:w="1210"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3.8042</w:t>
            </w:r>
            <w:r w:rsidRPr="00567667">
              <w:rPr>
                <w:color w:val="000000"/>
                <w:sz w:val="20"/>
                <w:szCs w:val="20"/>
              </w:rPr>
              <w:br/>
              <w:t>(3.1882)</w:t>
            </w:r>
          </w:p>
        </w:tc>
        <w:tc>
          <w:tcPr>
            <w:tcW w:w="1701"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8.5683***</w:t>
            </w:r>
            <w:r w:rsidRPr="00567667">
              <w:rPr>
                <w:color w:val="000000"/>
                <w:sz w:val="20"/>
                <w:szCs w:val="20"/>
              </w:rPr>
              <w:br/>
              <w:t>(2.5742)</w:t>
            </w:r>
          </w:p>
        </w:tc>
        <w:tc>
          <w:tcPr>
            <w:tcW w:w="1166"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 xml:space="preserve">3.9322 </w:t>
            </w:r>
            <w:r w:rsidRPr="00567667">
              <w:rPr>
                <w:color w:val="000000"/>
                <w:sz w:val="20"/>
                <w:szCs w:val="20"/>
              </w:rPr>
              <w:br/>
              <w:t>(8.3522)</w:t>
            </w:r>
          </w:p>
        </w:tc>
        <w:tc>
          <w:tcPr>
            <w:tcW w:w="2094"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6.8773***</w:t>
            </w:r>
            <w:r w:rsidRPr="00567667">
              <w:rPr>
                <w:color w:val="000000"/>
                <w:sz w:val="20"/>
                <w:szCs w:val="20"/>
              </w:rPr>
              <w:br/>
              <w:t>(1.264)</w:t>
            </w:r>
          </w:p>
        </w:tc>
      </w:tr>
      <w:tr w:rsidR="00567667" w:rsidRPr="00567667" w:rsidTr="00BE42D9">
        <w:trPr>
          <w:trHeight w:val="623"/>
        </w:trPr>
        <w:tc>
          <w:tcPr>
            <w:tcW w:w="1315" w:type="dxa"/>
            <w:tcBorders>
              <w:top w:val="nil"/>
              <w:left w:val="nil"/>
              <w:bottom w:val="nil"/>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t9</w:t>
            </w:r>
          </w:p>
        </w:tc>
        <w:tc>
          <w:tcPr>
            <w:tcW w:w="155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4.8649***</w:t>
            </w:r>
            <w:r w:rsidRPr="00567667">
              <w:rPr>
                <w:color w:val="000000"/>
                <w:sz w:val="20"/>
                <w:szCs w:val="20"/>
              </w:rPr>
              <w:br/>
              <w:t>(.78612)</w:t>
            </w:r>
          </w:p>
        </w:tc>
        <w:tc>
          <w:tcPr>
            <w:tcW w:w="144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5.9120***</w:t>
            </w:r>
            <w:r w:rsidRPr="00567667">
              <w:rPr>
                <w:color w:val="000000"/>
                <w:sz w:val="20"/>
                <w:szCs w:val="20"/>
              </w:rPr>
              <w:br/>
              <w:t>(.9004)</w:t>
            </w:r>
          </w:p>
        </w:tc>
        <w:tc>
          <w:tcPr>
            <w:tcW w:w="1210"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4.2628</w:t>
            </w:r>
            <w:r w:rsidRPr="00567667">
              <w:rPr>
                <w:color w:val="000000"/>
                <w:sz w:val="20"/>
                <w:szCs w:val="20"/>
              </w:rPr>
              <w:br/>
              <w:t>(2.9974)</w:t>
            </w:r>
          </w:p>
        </w:tc>
        <w:tc>
          <w:tcPr>
            <w:tcW w:w="1701"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10.4100***</w:t>
            </w:r>
            <w:r w:rsidRPr="00567667">
              <w:rPr>
                <w:color w:val="000000"/>
                <w:sz w:val="20"/>
                <w:szCs w:val="20"/>
              </w:rPr>
              <w:br/>
              <w:t>(2.2821)</w:t>
            </w:r>
          </w:p>
        </w:tc>
        <w:tc>
          <w:tcPr>
            <w:tcW w:w="1166"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-3.9714</w:t>
            </w:r>
            <w:r w:rsidRPr="00567667">
              <w:rPr>
                <w:color w:val="000000"/>
                <w:sz w:val="20"/>
                <w:szCs w:val="20"/>
              </w:rPr>
              <w:br/>
              <w:t>(7.6235)</w:t>
            </w:r>
          </w:p>
        </w:tc>
        <w:tc>
          <w:tcPr>
            <w:tcW w:w="2094"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7.2023***</w:t>
            </w:r>
            <w:r w:rsidRPr="00567667">
              <w:rPr>
                <w:color w:val="000000"/>
                <w:sz w:val="20"/>
                <w:szCs w:val="20"/>
              </w:rPr>
              <w:br/>
              <w:t>(1.2230)</w:t>
            </w:r>
          </w:p>
        </w:tc>
      </w:tr>
      <w:tr w:rsidR="00567667" w:rsidRPr="00567667" w:rsidTr="00BE42D9">
        <w:trPr>
          <w:trHeight w:val="623"/>
        </w:trPr>
        <w:tc>
          <w:tcPr>
            <w:tcW w:w="1315" w:type="dxa"/>
            <w:tcBorders>
              <w:top w:val="nil"/>
              <w:left w:val="nil"/>
              <w:bottom w:val="nil"/>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t10</w:t>
            </w:r>
          </w:p>
        </w:tc>
        <w:tc>
          <w:tcPr>
            <w:tcW w:w="155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4.6818***</w:t>
            </w:r>
            <w:r w:rsidRPr="00567667">
              <w:rPr>
                <w:color w:val="000000"/>
                <w:sz w:val="20"/>
                <w:szCs w:val="20"/>
              </w:rPr>
              <w:br/>
              <w:t>(.7475)</w:t>
            </w:r>
          </w:p>
        </w:tc>
        <w:tc>
          <w:tcPr>
            <w:tcW w:w="144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5.4958***</w:t>
            </w:r>
            <w:r w:rsidRPr="00567667">
              <w:rPr>
                <w:color w:val="000000"/>
                <w:sz w:val="20"/>
                <w:szCs w:val="20"/>
              </w:rPr>
              <w:br/>
              <w:t>(.8347)</w:t>
            </w:r>
          </w:p>
        </w:tc>
        <w:tc>
          <w:tcPr>
            <w:tcW w:w="1210"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2.0256</w:t>
            </w:r>
            <w:r w:rsidRPr="00567667">
              <w:rPr>
                <w:color w:val="000000"/>
                <w:sz w:val="20"/>
                <w:szCs w:val="20"/>
              </w:rPr>
              <w:br/>
              <w:t>(2.6082)</w:t>
            </w:r>
          </w:p>
        </w:tc>
        <w:tc>
          <w:tcPr>
            <w:tcW w:w="1701"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6.6167***</w:t>
            </w:r>
            <w:r w:rsidRPr="00567667">
              <w:rPr>
                <w:color w:val="000000"/>
                <w:sz w:val="20"/>
                <w:szCs w:val="20"/>
              </w:rPr>
              <w:br/>
              <w:t>(1.9653)</w:t>
            </w:r>
          </w:p>
        </w:tc>
        <w:tc>
          <w:tcPr>
            <w:tcW w:w="1166"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-12.2510*</w:t>
            </w:r>
            <w:r w:rsidR="00732300">
              <w:rPr>
                <w:color w:val="000000"/>
                <w:sz w:val="20"/>
                <w:szCs w:val="20"/>
              </w:rPr>
              <w:t>*</w:t>
            </w:r>
            <w:r w:rsidRPr="00567667">
              <w:rPr>
                <w:color w:val="000000"/>
                <w:sz w:val="20"/>
                <w:szCs w:val="20"/>
              </w:rPr>
              <w:br/>
              <w:t>( 6.1740)</w:t>
            </w:r>
          </w:p>
        </w:tc>
        <w:tc>
          <w:tcPr>
            <w:tcW w:w="2094"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6.8349***</w:t>
            </w:r>
            <w:r w:rsidRPr="00567667">
              <w:rPr>
                <w:color w:val="000000"/>
                <w:sz w:val="20"/>
                <w:szCs w:val="20"/>
              </w:rPr>
              <w:br/>
              <w:t>(1.1546)</w:t>
            </w:r>
          </w:p>
        </w:tc>
      </w:tr>
      <w:tr w:rsidR="00567667" w:rsidRPr="00567667" w:rsidTr="00BE42D9">
        <w:trPr>
          <w:trHeight w:val="623"/>
        </w:trPr>
        <w:tc>
          <w:tcPr>
            <w:tcW w:w="1315" w:type="dxa"/>
            <w:tcBorders>
              <w:top w:val="nil"/>
              <w:left w:val="nil"/>
              <w:bottom w:val="nil"/>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t11</w:t>
            </w:r>
          </w:p>
        </w:tc>
        <w:tc>
          <w:tcPr>
            <w:tcW w:w="155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4.8029***</w:t>
            </w:r>
            <w:r w:rsidRPr="00567667">
              <w:rPr>
                <w:color w:val="000000"/>
                <w:sz w:val="20"/>
                <w:szCs w:val="20"/>
              </w:rPr>
              <w:br/>
              <w:t>(.7199)</w:t>
            </w:r>
          </w:p>
        </w:tc>
        <w:tc>
          <w:tcPr>
            <w:tcW w:w="144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5.4786***</w:t>
            </w:r>
            <w:r w:rsidRPr="00567667">
              <w:rPr>
                <w:color w:val="000000"/>
                <w:sz w:val="20"/>
                <w:szCs w:val="20"/>
              </w:rPr>
              <w:br/>
              <w:t>(.7773)</w:t>
            </w:r>
          </w:p>
        </w:tc>
        <w:tc>
          <w:tcPr>
            <w:tcW w:w="1210"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5.2739**</w:t>
            </w:r>
            <w:r w:rsidRPr="00567667">
              <w:rPr>
                <w:color w:val="000000"/>
                <w:sz w:val="20"/>
                <w:szCs w:val="20"/>
              </w:rPr>
              <w:br/>
              <w:t>(2.4353)</w:t>
            </w:r>
          </w:p>
        </w:tc>
        <w:tc>
          <w:tcPr>
            <w:tcW w:w="1701"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5.1286***</w:t>
            </w:r>
            <w:r w:rsidRPr="00567667">
              <w:rPr>
                <w:color w:val="000000"/>
                <w:sz w:val="20"/>
                <w:szCs w:val="20"/>
              </w:rPr>
              <w:br/>
              <w:t>(1.9218)</w:t>
            </w:r>
          </w:p>
        </w:tc>
        <w:tc>
          <w:tcPr>
            <w:tcW w:w="1166"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3.8925</w:t>
            </w:r>
            <w:r w:rsidRPr="00567667">
              <w:rPr>
                <w:color w:val="000000"/>
                <w:sz w:val="20"/>
                <w:szCs w:val="20"/>
              </w:rPr>
              <w:br/>
              <w:t>(6.7244)</w:t>
            </w:r>
          </w:p>
        </w:tc>
        <w:tc>
          <w:tcPr>
            <w:tcW w:w="2094"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6.0268***</w:t>
            </w:r>
            <w:r w:rsidRPr="00567667">
              <w:rPr>
                <w:color w:val="000000"/>
                <w:sz w:val="20"/>
                <w:szCs w:val="20"/>
              </w:rPr>
              <w:br/>
              <w:t>(1.1070)</w:t>
            </w:r>
          </w:p>
        </w:tc>
      </w:tr>
      <w:tr w:rsidR="00567667" w:rsidRPr="00567667" w:rsidTr="00BE42D9">
        <w:trPr>
          <w:trHeight w:val="623"/>
        </w:trPr>
        <w:tc>
          <w:tcPr>
            <w:tcW w:w="1315" w:type="dxa"/>
            <w:tcBorders>
              <w:top w:val="nil"/>
              <w:left w:val="nil"/>
              <w:bottom w:val="nil"/>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t12</w:t>
            </w:r>
          </w:p>
        </w:tc>
        <w:tc>
          <w:tcPr>
            <w:tcW w:w="155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4.3747***</w:t>
            </w:r>
            <w:r w:rsidRPr="00567667">
              <w:rPr>
                <w:color w:val="000000"/>
                <w:sz w:val="20"/>
                <w:szCs w:val="20"/>
              </w:rPr>
              <w:br/>
              <w:t>(.6908)</w:t>
            </w:r>
          </w:p>
        </w:tc>
        <w:tc>
          <w:tcPr>
            <w:tcW w:w="144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4.8339***</w:t>
            </w:r>
            <w:r w:rsidRPr="00567667">
              <w:rPr>
                <w:color w:val="000000"/>
                <w:sz w:val="20"/>
                <w:szCs w:val="20"/>
              </w:rPr>
              <w:br/>
              <w:t>(.7258)</w:t>
            </w:r>
          </w:p>
        </w:tc>
        <w:tc>
          <w:tcPr>
            <w:tcW w:w="1210"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4.2896*</w:t>
            </w:r>
            <w:r w:rsidRPr="00567667">
              <w:rPr>
                <w:color w:val="000000"/>
                <w:sz w:val="20"/>
                <w:szCs w:val="20"/>
              </w:rPr>
              <w:br/>
              <w:t>(2.3142)</w:t>
            </w:r>
          </w:p>
        </w:tc>
        <w:tc>
          <w:tcPr>
            <w:tcW w:w="1701"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4.3317**</w:t>
            </w:r>
            <w:r w:rsidRPr="00567667">
              <w:rPr>
                <w:color w:val="000000"/>
                <w:sz w:val="20"/>
                <w:szCs w:val="20"/>
              </w:rPr>
              <w:br/>
              <w:t>(1.7472)</w:t>
            </w:r>
          </w:p>
        </w:tc>
        <w:tc>
          <w:tcPr>
            <w:tcW w:w="1166"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-3.0321</w:t>
            </w:r>
            <w:r w:rsidRPr="00567667">
              <w:rPr>
                <w:color w:val="000000"/>
                <w:sz w:val="20"/>
                <w:szCs w:val="20"/>
              </w:rPr>
              <w:br/>
              <w:t>(6.2971)</w:t>
            </w:r>
          </w:p>
        </w:tc>
        <w:tc>
          <w:tcPr>
            <w:tcW w:w="2094"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5.7978***</w:t>
            </w:r>
            <w:r w:rsidRPr="00567667">
              <w:rPr>
                <w:color w:val="000000"/>
                <w:sz w:val="20"/>
                <w:szCs w:val="20"/>
              </w:rPr>
              <w:br/>
              <w:t>(1.0646)</w:t>
            </w:r>
          </w:p>
        </w:tc>
      </w:tr>
      <w:tr w:rsidR="00567667" w:rsidRPr="00567667" w:rsidTr="00BE42D9">
        <w:trPr>
          <w:trHeight w:val="623"/>
        </w:trPr>
        <w:tc>
          <w:tcPr>
            <w:tcW w:w="1315" w:type="dxa"/>
            <w:tcBorders>
              <w:top w:val="nil"/>
              <w:left w:val="nil"/>
              <w:bottom w:val="nil"/>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t13</w:t>
            </w:r>
          </w:p>
        </w:tc>
        <w:tc>
          <w:tcPr>
            <w:tcW w:w="155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3.3811***</w:t>
            </w:r>
            <w:r w:rsidRPr="00567667">
              <w:rPr>
                <w:color w:val="000000"/>
                <w:sz w:val="20"/>
                <w:szCs w:val="20"/>
              </w:rPr>
              <w:br/>
              <w:t>(.6636)</w:t>
            </w:r>
          </w:p>
        </w:tc>
        <w:tc>
          <w:tcPr>
            <w:tcW w:w="144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3.9402***</w:t>
            </w:r>
            <w:r w:rsidRPr="00567667">
              <w:rPr>
                <w:color w:val="000000"/>
                <w:sz w:val="20"/>
                <w:szCs w:val="20"/>
              </w:rPr>
              <w:br/>
              <w:t>(.6868)</w:t>
            </w:r>
          </w:p>
        </w:tc>
        <w:tc>
          <w:tcPr>
            <w:tcW w:w="1210"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4.0425*</w:t>
            </w:r>
            <w:r w:rsidRPr="00567667">
              <w:rPr>
                <w:color w:val="000000"/>
                <w:sz w:val="20"/>
                <w:szCs w:val="20"/>
              </w:rPr>
              <w:br/>
              <w:t>(2.1651)</w:t>
            </w:r>
          </w:p>
        </w:tc>
        <w:tc>
          <w:tcPr>
            <w:tcW w:w="1701"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4.7887***</w:t>
            </w:r>
            <w:r w:rsidRPr="00567667">
              <w:rPr>
                <w:color w:val="000000"/>
                <w:sz w:val="20"/>
                <w:szCs w:val="20"/>
              </w:rPr>
              <w:br/>
              <w:t>(1.6106)</w:t>
            </w:r>
          </w:p>
        </w:tc>
        <w:tc>
          <w:tcPr>
            <w:tcW w:w="1166"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-6.3919</w:t>
            </w:r>
            <w:r w:rsidRPr="00567667">
              <w:rPr>
                <w:color w:val="000000"/>
                <w:sz w:val="20"/>
                <w:szCs w:val="20"/>
              </w:rPr>
              <w:br/>
              <w:t>(6.4673)</w:t>
            </w:r>
          </w:p>
        </w:tc>
        <w:tc>
          <w:tcPr>
            <w:tcW w:w="2094"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4.3631***</w:t>
            </w:r>
            <w:r w:rsidRPr="00567667">
              <w:rPr>
                <w:color w:val="000000"/>
                <w:sz w:val="20"/>
                <w:szCs w:val="20"/>
              </w:rPr>
              <w:br/>
              <w:t>(1.030)</w:t>
            </w:r>
          </w:p>
        </w:tc>
      </w:tr>
      <w:tr w:rsidR="00567667" w:rsidRPr="00567667" w:rsidTr="00BE42D9">
        <w:trPr>
          <w:trHeight w:val="623"/>
        </w:trPr>
        <w:tc>
          <w:tcPr>
            <w:tcW w:w="1315" w:type="dxa"/>
            <w:tcBorders>
              <w:top w:val="nil"/>
              <w:left w:val="nil"/>
              <w:bottom w:val="nil"/>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t14</w:t>
            </w:r>
          </w:p>
        </w:tc>
        <w:tc>
          <w:tcPr>
            <w:tcW w:w="155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2.9843***</w:t>
            </w:r>
            <w:r w:rsidRPr="00567667">
              <w:rPr>
                <w:color w:val="000000"/>
                <w:sz w:val="20"/>
                <w:szCs w:val="20"/>
              </w:rPr>
              <w:br/>
              <w:t>(.6559)</w:t>
            </w:r>
          </w:p>
        </w:tc>
        <w:tc>
          <w:tcPr>
            <w:tcW w:w="144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3.2688***</w:t>
            </w:r>
            <w:r w:rsidRPr="00567667">
              <w:rPr>
                <w:color w:val="000000"/>
                <w:sz w:val="20"/>
                <w:szCs w:val="20"/>
              </w:rPr>
              <w:br/>
              <w:t>(.6665)</w:t>
            </w:r>
          </w:p>
        </w:tc>
        <w:tc>
          <w:tcPr>
            <w:tcW w:w="1210"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3.5466*</w:t>
            </w:r>
            <w:r w:rsidRPr="00567667">
              <w:rPr>
                <w:color w:val="000000"/>
                <w:sz w:val="20"/>
                <w:szCs w:val="20"/>
              </w:rPr>
              <w:br/>
              <w:t>(2.0996)</w:t>
            </w:r>
          </w:p>
        </w:tc>
        <w:tc>
          <w:tcPr>
            <w:tcW w:w="1701"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4.3166***</w:t>
            </w:r>
            <w:r w:rsidRPr="00567667">
              <w:rPr>
                <w:color w:val="000000"/>
                <w:sz w:val="20"/>
                <w:szCs w:val="20"/>
              </w:rPr>
              <w:br/>
              <w:t>(1.5457)</w:t>
            </w:r>
          </w:p>
        </w:tc>
        <w:tc>
          <w:tcPr>
            <w:tcW w:w="1166"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 xml:space="preserve">-7.7196 </w:t>
            </w:r>
            <w:r w:rsidRPr="00567667">
              <w:rPr>
                <w:color w:val="000000"/>
                <w:sz w:val="20"/>
                <w:szCs w:val="20"/>
              </w:rPr>
              <w:br/>
              <w:t>(8.2505)</w:t>
            </w:r>
          </w:p>
        </w:tc>
        <w:tc>
          <w:tcPr>
            <w:tcW w:w="2094"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4.2217***</w:t>
            </w:r>
            <w:r w:rsidRPr="00567667">
              <w:rPr>
                <w:color w:val="000000"/>
                <w:sz w:val="20"/>
                <w:szCs w:val="20"/>
              </w:rPr>
              <w:br/>
              <w:t>(1.01032)</w:t>
            </w:r>
          </w:p>
        </w:tc>
      </w:tr>
      <w:tr w:rsidR="00567667" w:rsidRPr="00567667" w:rsidTr="00BE42D9">
        <w:trPr>
          <w:trHeight w:val="623"/>
        </w:trPr>
        <w:tc>
          <w:tcPr>
            <w:tcW w:w="1315" w:type="dxa"/>
            <w:tcBorders>
              <w:top w:val="nil"/>
              <w:left w:val="nil"/>
              <w:bottom w:val="nil"/>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t15</w:t>
            </w:r>
          </w:p>
        </w:tc>
        <w:tc>
          <w:tcPr>
            <w:tcW w:w="155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1.8228***</w:t>
            </w:r>
            <w:r w:rsidRPr="00567667">
              <w:rPr>
                <w:color w:val="000000"/>
                <w:sz w:val="20"/>
                <w:szCs w:val="20"/>
              </w:rPr>
              <w:br/>
              <w:t>(.6487)</w:t>
            </w:r>
          </w:p>
        </w:tc>
        <w:tc>
          <w:tcPr>
            <w:tcW w:w="144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2.0211***</w:t>
            </w:r>
            <w:r w:rsidRPr="00567667">
              <w:rPr>
                <w:color w:val="000000"/>
                <w:sz w:val="20"/>
                <w:szCs w:val="20"/>
              </w:rPr>
              <w:br/>
              <w:t>(.6506)</w:t>
            </w:r>
          </w:p>
        </w:tc>
        <w:tc>
          <w:tcPr>
            <w:tcW w:w="1210"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2.4911</w:t>
            </w:r>
            <w:r w:rsidRPr="00567667">
              <w:rPr>
                <w:color w:val="000000"/>
                <w:sz w:val="20"/>
                <w:szCs w:val="20"/>
              </w:rPr>
              <w:br/>
              <w:t>(2.0004)</w:t>
            </w:r>
          </w:p>
        </w:tc>
        <w:tc>
          <w:tcPr>
            <w:tcW w:w="1701"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3.6758**</w:t>
            </w:r>
            <w:r w:rsidRPr="00567667">
              <w:rPr>
                <w:color w:val="000000"/>
                <w:sz w:val="20"/>
                <w:szCs w:val="20"/>
              </w:rPr>
              <w:br/>
              <w:t>(1.5472)</w:t>
            </w:r>
          </w:p>
        </w:tc>
        <w:tc>
          <w:tcPr>
            <w:tcW w:w="1166"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 xml:space="preserve">-5.6689 </w:t>
            </w:r>
            <w:r w:rsidRPr="00567667">
              <w:rPr>
                <w:color w:val="000000"/>
                <w:sz w:val="20"/>
                <w:szCs w:val="20"/>
              </w:rPr>
              <w:br/>
              <w:t>(5.7036)</w:t>
            </w:r>
          </w:p>
        </w:tc>
        <w:tc>
          <w:tcPr>
            <w:tcW w:w="2094"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2.1940***</w:t>
            </w:r>
            <w:r w:rsidRPr="00567667">
              <w:rPr>
                <w:color w:val="000000"/>
                <w:sz w:val="20"/>
                <w:szCs w:val="20"/>
              </w:rPr>
              <w:br/>
              <w:t>(1.0279)</w:t>
            </w:r>
          </w:p>
        </w:tc>
      </w:tr>
      <w:tr w:rsidR="00567667" w:rsidRPr="00567667" w:rsidTr="00BE42D9">
        <w:trPr>
          <w:trHeight w:val="623"/>
        </w:trPr>
        <w:tc>
          <w:tcPr>
            <w:tcW w:w="1315" w:type="dxa"/>
            <w:tcBorders>
              <w:top w:val="nil"/>
              <w:left w:val="nil"/>
              <w:bottom w:val="nil"/>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t16</w:t>
            </w:r>
          </w:p>
        </w:tc>
        <w:tc>
          <w:tcPr>
            <w:tcW w:w="155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1.5886**</w:t>
            </w:r>
            <w:r w:rsidRPr="00567667">
              <w:rPr>
                <w:color w:val="000000"/>
                <w:sz w:val="20"/>
                <w:szCs w:val="20"/>
              </w:rPr>
              <w:br/>
              <w:t>(.6266)</w:t>
            </w:r>
          </w:p>
        </w:tc>
        <w:tc>
          <w:tcPr>
            <w:tcW w:w="1447"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1.6866***</w:t>
            </w:r>
            <w:r w:rsidRPr="00567667">
              <w:rPr>
                <w:color w:val="000000"/>
                <w:sz w:val="20"/>
                <w:szCs w:val="20"/>
              </w:rPr>
              <w:br/>
              <w:t>(.6242)</w:t>
            </w:r>
          </w:p>
        </w:tc>
        <w:tc>
          <w:tcPr>
            <w:tcW w:w="1210"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2.0689</w:t>
            </w:r>
            <w:r w:rsidRPr="00567667">
              <w:rPr>
                <w:color w:val="000000"/>
                <w:sz w:val="20"/>
                <w:szCs w:val="20"/>
              </w:rPr>
              <w:br/>
              <w:t>(1.8658)</w:t>
            </w:r>
          </w:p>
        </w:tc>
        <w:tc>
          <w:tcPr>
            <w:tcW w:w="1701"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1.1847</w:t>
            </w:r>
            <w:r w:rsidRPr="00567667">
              <w:rPr>
                <w:color w:val="000000"/>
                <w:sz w:val="20"/>
                <w:szCs w:val="20"/>
              </w:rPr>
              <w:br/>
              <w:t>(1.4446)</w:t>
            </w:r>
          </w:p>
        </w:tc>
        <w:tc>
          <w:tcPr>
            <w:tcW w:w="1166"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-4.9629</w:t>
            </w:r>
            <w:r w:rsidRPr="00567667">
              <w:rPr>
                <w:color w:val="000000"/>
                <w:sz w:val="20"/>
                <w:szCs w:val="20"/>
              </w:rPr>
              <w:br/>
              <w:t>(5.1642)</w:t>
            </w:r>
          </w:p>
        </w:tc>
        <w:tc>
          <w:tcPr>
            <w:tcW w:w="2094" w:type="dxa"/>
            <w:tcBorders>
              <w:top w:val="nil"/>
              <w:left w:val="nil"/>
              <w:bottom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1.9814***</w:t>
            </w:r>
            <w:r w:rsidRPr="00567667">
              <w:rPr>
                <w:color w:val="000000"/>
                <w:sz w:val="20"/>
                <w:szCs w:val="20"/>
              </w:rPr>
              <w:br/>
              <w:t>(.9813)</w:t>
            </w:r>
          </w:p>
        </w:tc>
      </w:tr>
      <w:tr w:rsidR="00567667" w:rsidRPr="00567667" w:rsidTr="00BE42D9">
        <w:trPr>
          <w:trHeight w:val="623"/>
        </w:trPr>
        <w:tc>
          <w:tcPr>
            <w:tcW w:w="1315" w:type="dxa"/>
            <w:tcBorders>
              <w:top w:val="nil"/>
              <w:left w:val="nil"/>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t17</w:t>
            </w:r>
          </w:p>
        </w:tc>
        <w:tc>
          <w:tcPr>
            <w:tcW w:w="1557" w:type="dxa"/>
            <w:tcBorders>
              <w:top w:val="nil"/>
              <w:left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1.4332**</w:t>
            </w:r>
            <w:r w:rsidRPr="00567667">
              <w:rPr>
                <w:color w:val="000000"/>
                <w:sz w:val="20"/>
                <w:szCs w:val="20"/>
              </w:rPr>
              <w:br/>
              <w:t>(.6187)</w:t>
            </w:r>
          </w:p>
        </w:tc>
        <w:tc>
          <w:tcPr>
            <w:tcW w:w="1447" w:type="dxa"/>
            <w:tcBorders>
              <w:top w:val="nil"/>
              <w:left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1.5405**</w:t>
            </w:r>
            <w:r w:rsidRPr="00567667">
              <w:rPr>
                <w:color w:val="000000"/>
                <w:sz w:val="20"/>
                <w:szCs w:val="20"/>
              </w:rPr>
              <w:br/>
              <w:t>(.6139)</w:t>
            </w:r>
          </w:p>
        </w:tc>
        <w:tc>
          <w:tcPr>
            <w:tcW w:w="1210" w:type="dxa"/>
            <w:tcBorders>
              <w:top w:val="nil"/>
              <w:left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.6597</w:t>
            </w:r>
            <w:r w:rsidRPr="00567667">
              <w:rPr>
                <w:color w:val="000000"/>
                <w:sz w:val="20"/>
                <w:szCs w:val="20"/>
              </w:rPr>
              <w:br/>
              <w:t>(1.8306)</w:t>
            </w:r>
          </w:p>
        </w:tc>
        <w:tc>
          <w:tcPr>
            <w:tcW w:w="1701" w:type="dxa"/>
            <w:tcBorders>
              <w:top w:val="nil"/>
              <w:left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1.5176</w:t>
            </w:r>
            <w:r w:rsidRPr="00567667">
              <w:rPr>
                <w:color w:val="000000"/>
                <w:sz w:val="20"/>
                <w:szCs w:val="20"/>
              </w:rPr>
              <w:br/>
              <w:t>(1.3662)</w:t>
            </w:r>
          </w:p>
        </w:tc>
        <w:tc>
          <w:tcPr>
            <w:tcW w:w="1166" w:type="dxa"/>
            <w:tcBorders>
              <w:top w:val="nil"/>
              <w:left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-.7082</w:t>
            </w:r>
            <w:r w:rsidRPr="00567667">
              <w:rPr>
                <w:color w:val="000000"/>
                <w:sz w:val="20"/>
                <w:szCs w:val="20"/>
              </w:rPr>
              <w:br/>
              <w:t>(5.1778)</w:t>
            </w:r>
          </w:p>
        </w:tc>
        <w:tc>
          <w:tcPr>
            <w:tcW w:w="2094" w:type="dxa"/>
            <w:tcBorders>
              <w:top w:val="nil"/>
              <w:left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2.4122***</w:t>
            </w:r>
            <w:r w:rsidRPr="00567667">
              <w:rPr>
                <w:color w:val="000000"/>
                <w:sz w:val="20"/>
                <w:szCs w:val="20"/>
              </w:rPr>
              <w:br/>
              <w:t>(.9790)</w:t>
            </w:r>
          </w:p>
        </w:tc>
      </w:tr>
      <w:tr w:rsidR="00567667" w:rsidRPr="00567667" w:rsidTr="00BE42D9">
        <w:trPr>
          <w:trHeight w:val="623"/>
        </w:trPr>
        <w:tc>
          <w:tcPr>
            <w:tcW w:w="1315" w:type="dxa"/>
            <w:tcBorders>
              <w:top w:val="nil"/>
              <w:left w:val="nil"/>
              <w:bottom w:val="single" w:sz="4" w:space="0" w:color="auto"/>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Constant</w:t>
            </w:r>
          </w:p>
        </w:tc>
        <w:tc>
          <w:tcPr>
            <w:tcW w:w="1557" w:type="dxa"/>
            <w:tcBorders>
              <w:top w:val="nil"/>
              <w:left w:val="nil"/>
              <w:bottom w:val="single" w:sz="4" w:space="0" w:color="auto"/>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21.7281***</w:t>
            </w:r>
            <w:r w:rsidRPr="00567667">
              <w:rPr>
                <w:color w:val="000000"/>
                <w:sz w:val="20"/>
                <w:szCs w:val="20"/>
              </w:rPr>
              <w:br/>
              <w:t>(5.4961)</w:t>
            </w:r>
          </w:p>
        </w:tc>
        <w:tc>
          <w:tcPr>
            <w:tcW w:w="1447" w:type="dxa"/>
            <w:tcBorders>
              <w:top w:val="nil"/>
              <w:left w:val="nil"/>
              <w:bottom w:val="single" w:sz="4" w:space="0" w:color="auto"/>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17.0791***</w:t>
            </w:r>
            <w:r w:rsidRPr="00567667">
              <w:rPr>
                <w:color w:val="000000"/>
                <w:sz w:val="20"/>
                <w:szCs w:val="20"/>
              </w:rPr>
              <w:br/>
              <w:t>(3.6336)</w:t>
            </w:r>
          </w:p>
        </w:tc>
        <w:tc>
          <w:tcPr>
            <w:tcW w:w="1210" w:type="dxa"/>
            <w:tcBorders>
              <w:top w:val="nil"/>
              <w:left w:val="nil"/>
              <w:bottom w:val="single" w:sz="4" w:space="0" w:color="auto"/>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15.5038</w:t>
            </w:r>
            <w:r w:rsidRPr="00567667">
              <w:rPr>
                <w:color w:val="000000"/>
                <w:sz w:val="20"/>
                <w:szCs w:val="20"/>
              </w:rPr>
              <w:br/>
              <w:t>(11.2434)</w:t>
            </w:r>
          </w:p>
        </w:tc>
        <w:tc>
          <w:tcPr>
            <w:tcW w:w="1701" w:type="dxa"/>
            <w:tcBorders>
              <w:top w:val="nil"/>
              <w:left w:val="nil"/>
              <w:bottom w:val="single" w:sz="4" w:space="0" w:color="auto"/>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32.9124***</w:t>
            </w:r>
            <w:r w:rsidRPr="00567667">
              <w:rPr>
                <w:color w:val="000000"/>
                <w:sz w:val="20"/>
                <w:szCs w:val="20"/>
              </w:rPr>
              <w:br/>
              <w:t>(6.5136)</w:t>
            </w:r>
          </w:p>
        </w:tc>
        <w:tc>
          <w:tcPr>
            <w:tcW w:w="1166" w:type="dxa"/>
            <w:tcBorders>
              <w:top w:val="nil"/>
              <w:left w:val="nil"/>
              <w:bottom w:val="single" w:sz="4" w:space="0" w:color="auto"/>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62.5417***</w:t>
            </w:r>
            <w:r w:rsidRPr="00567667">
              <w:rPr>
                <w:color w:val="000000"/>
                <w:sz w:val="20"/>
                <w:szCs w:val="20"/>
              </w:rPr>
              <w:br/>
              <w:t>(15.5585)</w:t>
            </w:r>
          </w:p>
        </w:tc>
        <w:tc>
          <w:tcPr>
            <w:tcW w:w="2094" w:type="dxa"/>
            <w:tcBorders>
              <w:top w:val="nil"/>
              <w:left w:val="nil"/>
              <w:bottom w:val="single" w:sz="4" w:space="0" w:color="auto"/>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31.1268***</w:t>
            </w:r>
            <w:r w:rsidRPr="00567667">
              <w:rPr>
                <w:color w:val="000000"/>
                <w:sz w:val="20"/>
                <w:szCs w:val="20"/>
              </w:rPr>
              <w:br/>
              <w:t>(3.7683)</w:t>
            </w:r>
          </w:p>
        </w:tc>
      </w:tr>
      <w:tr w:rsidR="00567667" w:rsidRPr="00567667" w:rsidTr="002E4597">
        <w:trPr>
          <w:trHeight w:val="473"/>
        </w:trPr>
        <w:tc>
          <w:tcPr>
            <w:tcW w:w="1315" w:type="dxa"/>
            <w:tcBorders>
              <w:top w:val="single" w:sz="4" w:space="0" w:color="auto"/>
              <w:left w:val="nil"/>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Observations</w:t>
            </w:r>
          </w:p>
        </w:tc>
        <w:tc>
          <w:tcPr>
            <w:tcW w:w="1557" w:type="dxa"/>
            <w:tcBorders>
              <w:top w:val="single" w:sz="4" w:space="0" w:color="auto"/>
              <w:left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4,105</w:t>
            </w:r>
          </w:p>
        </w:tc>
        <w:tc>
          <w:tcPr>
            <w:tcW w:w="1447" w:type="dxa"/>
            <w:tcBorders>
              <w:top w:val="single" w:sz="4" w:space="0" w:color="auto"/>
              <w:left w:val="nil"/>
              <w:right w:val="nil"/>
            </w:tcBorders>
            <w:shd w:val="clear" w:color="auto" w:fill="auto"/>
            <w:vAlign w:val="bottom"/>
            <w:hideMark/>
          </w:tcPr>
          <w:p w:rsidR="00567667" w:rsidRPr="00567667" w:rsidRDefault="00567667" w:rsidP="00BE42D9">
            <w:pPr>
              <w:jc w:val="center"/>
              <w:rPr>
                <w:color w:val="000000"/>
                <w:sz w:val="20"/>
                <w:szCs w:val="20"/>
              </w:rPr>
            </w:pPr>
            <w:r w:rsidRPr="00567667">
              <w:rPr>
                <w:color w:val="000000"/>
                <w:sz w:val="20"/>
                <w:szCs w:val="20"/>
              </w:rPr>
              <w:t>4,105</w:t>
            </w:r>
          </w:p>
        </w:tc>
        <w:tc>
          <w:tcPr>
            <w:tcW w:w="1210" w:type="dxa"/>
            <w:tcBorders>
              <w:top w:val="single" w:sz="4" w:space="0" w:color="auto"/>
              <w:left w:val="nil"/>
              <w:right w:val="nil"/>
            </w:tcBorders>
            <w:shd w:val="clear" w:color="auto" w:fill="auto"/>
            <w:noWrap/>
            <w:vAlign w:val="bottom"/>
            <w:hideMark/>
          </w:tcPr>
          <w:p w:rsidR="00567667" w:rsidRPr="00567667" w:rsidRDefault="00567667" w:rsidP="00BE42D9">
            <w:pPr>
              <w:jc w:val="center"/>
              <w:rPr>
                <w:color w:val="000000"/>
                <w:sz w:val="20"/>
                <w:szCs w:val="20"/>
              </w:rPr>
            </w:pPr>
            <w:r w:rsidRPr="00567667">
              <w:rPr>
                <w:color w:val="000000"/>
                <w:sz w:val="20"/>
                <w:szCs w:val="20"/>
              </w:rPr>
              <w:t>335</w:t>
            </w:r>
          </w:p>
        </w:tc>
        <w:tc>
          <w:tcPr>
            <w:tcW w:w="1701" w:type="dxa"/>
            <w:tcBorders>
              <w:top w:val="single" w:sz="4" w:space="0" w:color="auto"/>
              <w:left w:val="nil"/>
              <w:right w:val="nil"/>
            </w:tcBorders>
            <w:shd w:val="clear" w:color="auto" w:fill="auto"/>
            <w:noWrap/>
            <w:vAlign w:val="bottom"/>
            <w:hideMark/>
          </w:tcPr>
          <w:p w:rsidR="00567667" w:rsidRPr="00567667" w:rsidRDefault="00567667" w:rsidP="00BE42D9">
            <w:pPr>
              <w:jc w:val="center"/>
              <w:rPr>
                <w:color w:val="000000"/>
                <w:sz w:val="20"/>
                <w:szCs w:val="20"/>
              </w:rPr>
            </w:pPr>
            <w:r w:rsidRPr="00567667">
              <w:rPr>
                <w:color w:val="000000"/>
                <w:sz w:val="20"/>
                <w:szCs w:val="20"/>
              </w:rPr>
              <w:t>225</w:t>
            </w:r>
          </w:p>
        </w:tc>
        <w:tc>
          <w:tcPr>
            <w:tcW w:w="1166" w:type="dxa"/>
            <w:tcBorders>
              <w:top w:val="single" w:sz="4" w:space="0" w:color="auto"/>
              <w:left w:val="nil"/>
              <w:right w:val="nil"/>
            </w:tcBorders>
            <w:shd w:val="clear" w:color="auto" w:fill="auto"/>
            <w:noWrap/>
            <w:vAlign w:val="bottom"/>
            <w:hideMark/>
          </w:tcPr>
          <w:p w:rsidR="00567667" w:rsidRPr="00567667" w:rsidRDefault="00567667" w:rsidP="00BE42D9">
            <w:pPr>
              <w:jc w:val="center"/>
              <w:rPr>
                <w:color w:val="000000"/>
                <w:sz w:val="20"/>
                <w:szCs w:val="20"/>
              </w:rPr>
            </w:pPr>
            <w:r w:rsidRPr="00567667">
              <w:rPr>
                <w:color w:val="000000"/>
                <w:sz w:val="20"/>
                <w:szCs w:val="20"/>
              </w:rPr>
              <w:t>47</w:t>
            </w:r>
          </w:p>
        </w:tc>
        <w:tc>
          <w:tcPr>
            <w:tcW w:w="2094" w:type="dxa"/>
            <w:tcBorders>
              <w:top w:val="single" w:sz="4" w:space="0" w:color="auto"/>
              <w:left w:val="nil"/>
              <w:right w:val="nil"/>
            </w:tcBorders>
            <w:shd w:val="clear" w:color="auto" w:fill="auto"/>
            <w:noWrap/>
            <w:vAlign w:val="bottom"/>
            <w:hideMark/>
          </w:tcPr>
          <w:p w:rsidR="00567667" w:rsidRPr="00567667" w:rsidRDefault="00567667" w:rsidP="00BE42D9">
            <w:pPr>
              <w:jc w:val="center"/>
              <w:rPr>
                <w:color w:val="000000"/>
                <w:sz w:val="20"/>
                <w:szCs w:val="20"/>
              </w:rPr>
            </w:pPr>
            <w:r w:rsidRPr="00567667">
              <w:rPr>
                <w:color w:val="000000"/>
                <w:sz w:val="20"/>
                <w:szCs w:val="20"/>
              </w:rPr>
              <w:t>1,781</w:t>
            </w:r>
          </w:p>
        </w:tc>
      </w:tr>
      <w:tr w:rsidR="00567667" w:rsidRPr="00567667" w:rsidTr="002E4597">
        <w:trPr>
          <w:trHeight w:val="434"/>
        </w:trPr>
        <w:tc>
          <w:tcPr>
            <w:tcW w:w="1315" w:type="dxa"/>
            <w:tcBorders>
              <w:top w:val="nil"/>
              <w:left w:val="nil"/>
              <w:bottom w:val="single" w:sz="4" w:space="0" w:color="auto"/>
              <w:right w:val="nil"/>
            </w:tcBorders>
            <w:shd w:val="clear" w:color="auto" w:fill="auto"/>
            <w:noWrap/>
            <w:vAlign w:val="bottom"/>
            <w:hideMark/>
          </w:tcPr>
          <w:p w:rsidR="00567667" w:rsidRPr="00567667" w:rsidRDefault="00567667" w:rsidP="00567667">
            <w:pPr>
              <w:rPr>
                <w:color w:val="000000"/>
                <w:sz w:val="20"/>
                <w:szCs w:val="20"/>
              </w:rPr>
            </w:pPr>
            <w:r w:rsidRPr="00567667">
              <w:rPr>
                <w:color w:val="000000"/>
                <w:sz w:val="20"/>
                <w:szCs w:val="20"/>
              </w:rPr>
              <w:t>R-squared</w:t>
            </w:r>
          </w:p>
        </w:tc>
        <w:tc>
          <w:tcPr>
            <w:tcW w:w="1557" w:type="dxa"/>
            <w:tcBorders>
              <w:top w:val="nil"/>
              <w:left w:val="nil"/>
              <w:bottom w:val="single" w:sz="4" w:space="0" w:color="auto"/>
              <w:right w:val="nil"/>
            </w:tcBorders>
            <w:shd w:val="clear" w:color="auto" w:fill="auto"/>
            <w:noWrap/>
            <w:vAlign w:val="bottom"/>
            <w:hideMark/>
          </w:tcPr>
          <w:p w:rsidR="00567667" w:rsidRPr="00567667" w:rsidRDefault="00567667" w:rsidP="00BE42D9">
            <w:pPr>
              <w:jc w:val="center"/>
              <w:rPr>
                <w:color w:val="000000"/>
                <w:sz w:val="20"/>
                <w:szCs w:val="20"/>
              </w:rPr>
            </w:pPr>
            <w:r w:rsidRPr="00567667">
              <w:rPr>
                <w:color w:val="000000"/>
                <w:sz w:val="20"/>
                <w:szCs w:val="20"/>
              </w:rPr>
              <w:t>0.388</w:t>
            </w:r>
          </w:p>
        </w:tc>
        <w:tc>
          <w:tcPr>
            <w:tcW w:w="1447" w:type="dxa"/>
            <w:tcBorders>
              <w:top w:val="nil"/>
              <w:left w:val="nil"/>
              <w:bottom w:val="single" w:sz="4" w:space="0" w:color="auto"/>
              <w:right w:val="nil"/>
            </w:tcBorders>
            <w:shd w:val="clear" w:color="auto" w:fill="auto"/>
            <w:noWrap/>
            <w:vAlign w:val="bottom"/>
            <w:hideMark/>
          </w:tcPr>
          <w:p w:rsidR="00567667" w:rsidRPr="00567667" w:rsidRDefault="00567667" w:rsidP="00BE42D9">
            <w:pPr>
              <w:jc w:val="center"/>
              <w:rPr>
                <w:color w:val="000000"/>
                <w:sz w:val="20"/>
                <w:szCs w:val="20"/>
              </w:rPr>
            </w:pPr>
            <w:r w:rsidRPr="00567667">
              <w:rPr>
                <w:color w:val="000000"/>
                <w:sz w:val="20"/>
                <w:szCs w:val="20"/>
              </w:rPr>
              <w:t>0.239</w:t>
            </w:r>
          </w:p>
        </w:tc>
        <w:tc>
          <w:tcPr>
            <w:tcW w:w="1210" w:type="dxa"/>
            <w:tcBorders>
              <w:top w:val="nil"/>
              <w:left w:val="nil"/>
              <w:bottom w:val="single" w:sz="4" w:space="0" w:color="auto"/>
              <w:right w:val="nil"/>
            </w:tcBorders>
            <w:shd w:val="clear" w:color="auto" w:fill="auto"/>
            <w:noWrap/>
            <w:vAlign w:val="bottom"/>
            <w:hideMark/>
          </w:tcPr>
          <w:p w:rsidR="00567667" w:rsidRPr="00567667" w:rsidRDefault="00567667" w:rsidP="00BE42D9">
            <w:pPr>
              <w:jc w:val="center"/>
              <w:rPr>
                <w:color w:val="000000"/>
                <w:sz w:val="20"/>
                <w:szCs w:val="20"/>
              </w:rPr>
            </w:pPr>
            <w:r w:rsidRPr="00567667">
              <w:rPr>
                <w:color w:val="000000"/>
                <w:sz w:val="20"/>
                <w:szCs w:val="20"/>
              </w:rPr>
              <w:t>0.272</w:t>
            </w:r>
          </w:p>
        </w:tc>
        <w:tc>
          <w:tcPr>
            <w:tcW w:w="1701" w:type="dxa"/>
            <w:tcBorders>
              <w:top w:val="nil"/>
              <w:left w:val="nil"/>
              <w:bottom w:val="single" w:sz="4" w:space="0" w:color="auto"/>
              <w:right w:val="nil"/>
            </w:tcBorders>
            <w:shd w:val="clear" w:color="auto" w:fill="auto"/>
            <w:noWrap/>
            <w:vAlign w:val="bottom"/>
            <w:hideMark/>
          </w:tcPr>
          <w:p w:rsidR="00567667" w:rsidRPr="00567667" w:rsidRDefault="00567667" w:rsidP="00BE42D9">
            <w:pPr>
              <w:jc w:val="center"/>
              <w:rPr>
                <w:color w:val="000000"/>
                <w:sz w:val="20"/>
                <w:szCs w:val="20"/>
              </w:rPr>
            </w:pPr>
            <w:r w:rsidRPr="00567667">
              <w:rPr>
                <w:color w:val="000000"/>
                <w:sz w:val="20"/>
                <w:szCs w:val="20"/>
              </w:rPr>
              <w:t>0.509</w:t>
            </w:r>
          </w:p>
        </w:tc>
        <w:tc>
          <w:tcPr>
            <w:tcW w:w="1166" w:type="dxa"/>
            <w:tcBorders>
              <w:top w:val="nil"/>
              <w:left w:val="nil"/>
              <w:bottom w:val="single" w:sz="4" w:space="0" w:color="auto"/>
              <w:right w:val="nil"/>
            </w:tcBorders>
            <w:shd w:val="clear" w:color="auto" w:fill="auto"/>
            <w:noWrap/>
            <w:vAlign w:val="bottom"/>
            <w:hideMark/>
          </w:tcPr>
          <w:p w:rsidR="00567667" w:rsidRPr="00567667" w:rsidRDefault="00567667" w:rsidP="00BE42D9">
            <w:pPr>
              <w:jc w:val="center"/>
              <w:rPr>
                <w:color w:val="000000"/>
                <w:sz w:val="20"/>
                <w:szCs w:val="20"/>
              </w:rPr>
            </w:pPr>
            <w:r w:rsidRPr="00567667">
              <w:rPr>
                <w:color w:val="000000"/>
                <w:sz w:val="20"/>
                <w:szCs w:val="20"/>
              </w:rPr>
              <w:t>0.888</w:t>
            </w:r>
          </w:p>
        </w:tc>
        <w:tc>
          <w:tcPr>
            <w:tcW w:w="2094" w:type="dxa"/>
            <w:tcBorders>
              <w:top w:val="nil"/>
              <w:left w:val="nil"/>
              <w:bottom w:val="single" w:sz="4" w:space="0" w:color="auto"/>
              <w:right w:val="nil"/>
            </w:tcBorders>
            <w:shd w:val="clear" w:color="auto" w:fill="auto"/>
            <w:noWrap/>
            <w:vAlign w:val="bottom"/>
            <w:hideMark/>
          </w:tcPr>
          <w:p w:rsidR="00567667" w:rsidRPr="00567667" w:rsidRDefault="00567667" w:rsidP="00BE42D9">
            <w:pPr>
              <w:jc w:val="center"/>
              <w:rPr>
                <w:color w:val="000000"/>
                <w:sz w:val="20"/>
                <w:szCs w:val="20"/>
              </w:rPr>
            </w:pPr>
            <w:r w:rsidRPr="00567667">
              <w:rPr>
                <w:color w:val="000000"/>
                <w:sz w:val="20"/>
                <w:szCs w:val="20"/>
              </w:rPr>
              <w:t>0.264</w:t>
            </w:r>
          </w:p>
        </w:tc>
      </w:tr>
    </w:tbl>
    <w:bookmarkEnd w:id="70"/>
    <w:bookmarkEnd w:id="71"/>
    <w:p w:rsidR="005229F7" w:rsidRDefault="005229F7">
      <w:pPr>
        <w:spacing w:line="276" w:lineRule="auto"/>
        <w:jc w:val="both"/>
        <w:rPr>
          <w:sz w:val="20"/>
          <w:szCs w:val="20"/>
        </w:rPr>
      </w:pPr>
      <w:r>
        <w:rPr>
          <w:sz w:val="20"/>
          <w:szCs w:val="20"/>
        </w:rPr>
        <w:t xml:space="preserve">Notes: </w:t>
      </w:r>
      <w:r w:rsidRPr="005229F7">
        <w:rPr>
          <w:i/>
          <w:sz w:val="20"/>
          <w:szCs w:val="20"/>
        </w:rPr>
        <w:t>RE</w:t>
      </w:r>
      <w:r>
        <w:rPr>
          <w:sz w:val="20"/>
          <w:szCs w:val="20"/>
        </w:rPr>
        <w:t xml:space="preserve"> refers to random effects model. </w:t>
      </w:r>
      <w:r w:rsidRPr="005229F7">
        <w:rPr>
          <w:i/>
          <w:sz w:val="20"/>
          <w:szCs w:val="20"/>
        </w:rPr>
        <w:t xml:space="preserve">FE </w:t>
      </w:r>
      <w:r>
        <w:rPr>
          <w:sz w:val="20"/>
          <w:szCs w:val="20"/>
        </w:rPr>
        <w:t>refers to fixed effects model. Some variables are dropped in industry regressions due to collinearity</w:t>
      </w:r>
      <w:r w:rsidR="003022CF">
        <w:rPr>
          <w:sz w:val="20"/>
          <w:szCs w:val="20"/>
        </w:rPr>
        <w:t xml:space="preserve"> problem</w:t>
      </w:r>
      <w:r>
        <w:rPr>
          <w:sz w:val="20"/>
          <w:szCs w:val="20"/>
        </w:rPr>
        <w:t>.</w:t>
      </w:r>
    </w:p>
    <w:p w:rsidR="00567667" w:rsidRPr="008F21FD" w:rsidRDefault="004158F3">
      <w:pPr>
        <w:spacing w:line="276" w:lineRule="auto"/>
        <w:jc w:val="both"/>
        <w:rPr>
          <w:sz w:val="20"/>
          <w:szCs w:val="20"/>
        </w:rPr>
      </w:pPr>
      <w:bookmarkStart w:id="72" w:name="OLE_LINK41"/>
      <w:bookmarkStart w:id="73" w:name="OLE_LINK42"/>
      <w:r w:rsidRPr="008F21FD">
        <w:rPr>
          <w:sz w:val="20"/>
          <w:szCs w:val="20"/>
        </w:rPr>
        <w:t>*** denotes significance level at 1%</w:t>
      </w:r>
    </w:p>
    <w:p w:rsidR="004158F3" w:rsidRPr="008F21FD" w:rsidRDefault="004158F3">
      <w:pPr>
        <w:spacing w:line="276" w:lineRule="auto"/>
        <w:jc w:val="both"/>
        <w:rPr>
          <w:sz w:val="20"/>
          <w:szCs w:val="20"/>
        </w:rPr>
      </w:pPr>
      <w:bookmarkStart w:id="74" w:name="OLE_LINK9"/>
      <w:bookmarkStart w:id="75" w:name="OLE_LINK10"/>
      <w:bookmarkEnd w:id="72"/>
      <w:bookmarkEnd w:id="73"/>
      <w:r w:rsidRPr="008F21FD">
        <w:rPr>
          <w:sz w:val="20"/>
          <w:szCs w:val="20"/>
        </w:rPr>
        <w:t>** denotes significance level at 5%</w:t>
      </w:r>
    </w:p>
    <w:p w:rsidR="004158F3" w:rsidRPr="008F21FD" w:rsidRDefault="004158F3" w:rsidP="004158F3">
      <w:pPr>
        <w:spacing w:line="276" w:lineRule="auto"/>
        <w:jc w:val="both"/>
        <w:rPr>
          <w:sz w:val="20"/>
          <w:szCs w:val="20"/>
        </w:rPr>
      </w:pPr>
      <w:r w:rsidRPr="008F21FD">
        <w:rPr>
          <w:sz w:val="20"/>
          <w:szCs w:val="20"/>
        </w:rPr>
        <w:t>* denotes significance level at 10%</w:t>
      </w:r>
    </w:p>
    <w:p w:rsidR="004158F3" w:rsidRDefault="004158F3">
      <w:pPr>
        <w:spacing w:line="276" w:lineRule="auto"/>
        <w:jc w:val="both"/>
      </w:pPr>
    </w:p>
    <w:bookmarkEnd w:id="74"/>
    <w:bookmarkEnd w:id="75"/>
    <w:p w:rsidR="00FD638A" w:rsidRDefault="00FD638A" w:rsidP="00FD638A">
      <w:pPr>
        <w:spacing w:line="276" w:lineRule="auto"/>
        <w:jc w:val="both"/>
      </w:pPr>
    </w:p>
    <w:p w:rsidR="002237FA" w:rsidRDefault="00FD638A" w:rsidP="00FE770A">
      <w:pPr>
        <w:spacing w:line="480" w:lineRule="auto"/>
        <w:jc w:val="both"/>
      </w:pPr>
      <w:r>
        <w:t xml:space="preserve">Table 4 presents the relationship between leverage, profitability and time. The first row of coefficients demonstrates a significant negative relationship between leverage and profitability in Chinese SOEs </w:t>
      </w:r>
      <w:r w:rsidR="00840F07">
        <w:t>at</w:t>
      </w:r>
      <w:r>
        <w:t xml:space="preserve"> the aggregate level and by industries (except IT industry). It is consistent with the analysis in the last section</w:t>
      </w:r>
      <w:r w:rsidR="001428F5">
        <w:t xml:space="preserve">: </w:t>
      </w:r>
      <w:r w:rsidR="00BE0F6C">
        <w:t>an</w:t>
      </w:r>
      <w:r>
        <w:t xml:space="preserve"> increase in leverage is associated with a decline in profitability. This is a strong indication that Chinese SOEs, particularly in the highly leveraged industries such as real estate and construction, may have difficulty retaining their current level of debt.</w:t>
      </w:r>
      <w:r w:rsidR="00840F07">
        <w:t xml:space="preserve"> The positive relationship between leverage and time is consistent at the aggregate level and by industries (except IT industry). </w:t>
      </w:r>
      <w:r w:rsidR="0044689A">
        <w:t>The leverage in Chinese SOEs has increased over time with the highest growth around the reform (2005 - 2007). After the reform, the growth rate of leverage has a decreasing trend</w:t>
      </w:r>
      <w:r w:rsidR="00301418">
        <w:t xml:space="preserve"> but is still positive</w:t>
      </w:r>
      <w:r w:rsidR="0044689A">
        <w:t>.</w:t>
      </w:r>
      <w:r w:rsidR="00BB0E5F">
        <w:t xml:space="preserve"> </w:t>
      </w:r>
      <w:r w:rsidR="00836845">
        <w:t xml:space="preserve">However, </w:t>
      </w:r>
      <w:r w:rsidR="00531FD8">
        <w:t>IT industry with comparatively lower leverage has actually deleveraged over time</w:t>
      </w:r>
      <w:r w:rsidR="003534EB">
        <w:t>.</w:t>
      </w:r>
      <w:r w:rsidR="00531FD8">
        <w:t xml:space="preserve"> </w:t>
      </w:r>
      <w:r w:rsidR="003F0AFD">
        <w:t xml:space="preserve">There is also no significant indication of declining profitability in IT industry. </w:t>
      </w:r>
      <w:bookmarkStart w:id="76" w:name="OLE_LINK69"/>
      <w:bookmarkStart w:id="77" w:name="OLE_LINK70"/>
      <w:r w:rsidR="00DE55A3">
        <w:t xml:space="preserve">The result suggests </w:t>
      </w:r>
      <w:r w:rsidR="00F51B55">
        <w:t xml:space="preserve">that </w:t>
      </w:r>
      <w:r w:rsidR="00DE55A3">
        <w:t xml:space="preserve">IT industry </w:t>
      </w:r>
      <w:r w:rsidR="00F51B55">
        <w:t xml:space="preserve">is the least vulnerable industry that would be more likely to sustain its financial stability. </w:t>
      </w:r>
    </w:p>
    <w:bookmarkEnd w:id="76"/>
    <w:bookmarkEnd w:id="77"/>
    <w:p w:rsidR="002237FA" w:rsidRDefault="002237FA" w:rsidP="00FE770A">
      <w:pPr>
        <w:pStyle w:val="ListParagraph"/>
        <w:numPr>
          <w:ilvl w:val="0"/>
          <w:numId w:val="1"/>
        </w:numPr>
        <w:spacing w:line="480" w:lineRule="auto"/>
        <w:jc w:val="center"/>
      </w:pPr>
      <w:r>
        <w:t>Conclusion</w:t>
      </w:r>
    </w:p>
    <w:p w:rsidR="00405B5B" w:rsidRDefault="00405B5B" w:rsidP="00FE770A">
      <w:pPr>
        <w:spacing w:line="480" w:lineRule="auto"/>
      </w:pPr>
    </w:p>
    <w:p w:rsidR="00B14731" w:rsidRDefault="004128C1" w:rsidP="001A683D">
      <w:pPr>
        <w:spacing w:line="480" w:lineRule="auto"/>
        <w:jc w:val="both"/>
      </w:pPr>
      <w:r>
        <w:t xml:space="preserve">As the development of China’s economy, the debt ratio of the country has also grown significantly. </w:t>
      </w:r>
      <w:r w:rsidR="009E3B83">
        <w:t xml:space="preserve">Corporate debt </w:t>
      </w:r>
      <w:r w:rsidR="00482E0E">
        <w:t xml:space="preserve">has increased to 165 percent of the country’s GDP and two thirds of the debt are in China’s state-owned enterprises. </w:t>
      </w:r>
      <w:r w:rsidR="00C42726">
        <w:t xml:space="preserve">Since the stability of China’s economy is closely related to the health of global economy, it is necessary to investigate the rising indebtedness in China’s state-owned enterprises. </w:t>
      </w:r>
      <w:r w:rsidR="00F90965">
        <w:t>This paper provides a comprehensive study on the financial sustainability of China’s SOEs. The key findings are as follows:</w:t>
      </w:r>
    </w:p>
    <w:p w:rsidR="00F90965" w:rsidRDefault="00F90965" w:rsidP="001A683D">
      <w:pPr>
        <w:pStyle w:val="ListParagraph"/>
        <w:numPr>
          <w:ilvl w:val="0"/>
          <w:numId w:val="7"/>
        </w:numPr>
        <w:spacing w:line="480" w:lineRule="auto"/>
        <w:jc w:val="both"/>
      </w:pPr>
      <w:r>
        <w:t>On average, SOEs have increased their leverage by 30 percent between 2000 and 2005. After the 2005 reform, the leverage of SOEs have largely stayed flat. At the same time, profitability has significantly decreased by 50 percent and solvency ratio has dropped by 20 to 40 percent</w:t>
      </w:r>
      <w:r w:rsidR="00CF076D" w:rsidRPr="00CF076D">
        <w:t xml:space="preserve"> </w:t>
      </w:r>
      <w:r w:rsidR="00CF076D">
        <w:t>before the reform</w:t>
      </w:r>
      <w:r>
        <w:t>.</w:t>
      </w:r>
    </w:p>
    <w:p w:rsidR="00E06385" w:rsidRDefault="00E06385" w:rsidP="001A683D">
      <w:pPr>
        <w:pStyle w:val="ListParagraph"/>
        <w:numPr>
          <w:ilvl w:val="0"/>
          <w:numId w:val="7"/>
        </w:numPr>
        <w:spacing w:line="480" w:lineRule="auto"/>
        <w:jc w:val="both"/>
      </w:pPr>
      <w:r>
        <w:t>The increase in leverage is not compensated by a similar increase in profitability. On the contrary, profitability and solvency ability has an overall negative growth rate. This is a strong indication that SOEs may have difficulty retaining their current level of debt.</w:t>
      </w:r>
    </w:p>
    <w:p w:rsidR="00F90965" w:rsidRDefault="004F7B44" w:rsidP="001A683D">
      <w:pPr>
        <w:pStyle w:val="ListParagraph"/>
        <w:numPr>
          <w:ilvl w:val="0"/>
          <w:numId w:val="7"/>
        </w:numPr>
        <w:spacing w:line="480" w:lineRule="auto"/>
        <w:jc w:val="both"/>
      </w:pPr>
      <w:bookmarkStart w:id="78" w:name="OLE_LINK79"/>
      <w:bookmarkStart w:id="79" w:name="OLE_LINK80"/>
      <w:r>
        <w:t xml:space="preserve">Construction and real estate are two highly leveraged industries. </w:t>
      </w:r>
      <w:bookmarkEnd w:id="78"/>
      <w:bookmarkEnd w:id="79"/>
      <w:r w:rsidR="006C62CC">
        <w:t>The real estate sector has increased the leverage to 4-times from 2000 to 2017</w:t>
      </w:r>
      <w:r w:rsidR="00A0350B">
        <w:t xml:space="preserve">, but </w:t>
      </w:r>
      <w:r w:rsidR="0060696A">
        <w:t xml:space="preserve">its </w:t>
      </w:r>
      <w:r w:rsidR="00A0350B">
        <w:t xml:space="preserve">profitability ratio has stayed at the same level. </w:t>
      </w:r>
      <w:r w:rsidR="00924093">
        <w:t xml:space="preserve">This </w:t>
      </w:r>
      <w:r w:rsidR="00924093">
        <w:lastRenderedPageBreak/>
        <w:t xml:space="preserve">indicates </w:t>
      </w:r>
      <w:bookmarkStart w:id="80" w:name="OLE_LINK64"/>
      <w:bookmarkStart w:id="81" w:name="OLE_LINK65"/>
      <w:r w:rsidR="001A683D">
        <w:t>increasing financial vulnerabilit</w:t>
      </w:r>
      <w:r w:rsidR="0024121C">
        <w:t>ies</w:t>
      </w:r>
      <w:r w:rsidR="00924093">
        <w:t xml:space="preserve"> </w:t>
      </w:r>
      <w:bookmarkEnd w:id="80"/>
      <w:bookmarkEnd w:id="81"/>
      <w:r w:rsidR="00924093">
        <w:t>in real estate industry.</w:t>
      </w:r>
      <w:r w:rsidR="005B6290">
        <w:t xml:space="preserve"> The information technology sector has relatively less debt and does not increase the leverage</w:t>
      </w:r>
      <w:r w:rsidR="002F67AD">
        <w:t xml:space="preserve"> over time</w:t>
      </w:r>
      <w:r w:rsidR="005B6290">
        <w:t>.</w:t>
      </w:r>
      <w:r w:rsidR="002F67AD">
        <w:t xml:space="preserve"> </w:t>
      </w:r>
      <w:r w:rsidR="00416C52">
        <w:t>The IT sector has the lowest default risk compared to other sectors.</w:t>
      </w:r>
    </w:p>
    <w:p w:rsidR="00416C52" w:rsidRDefault="00416C52" w:rsidP="001A683D">
      <w:pPr>
        <w:pStyle w:val="ListParagraph"/>
        <w:numPr>
          <w:ilvl w:val="0"/>
          <w:numId w:val="7"/>
        </w:numPr>
        <w:spacing w:line="480" w:lineRule="auto"/>
        <w:jc w:val="both"/>
      </w:pPr>
      <w:r>
        <w:t xml:space="preserve">The negative relationship between leverage and profitability is significant in China’s SOEs. </w:t>
      </w:r>
      <w:bookmarkStart w:id="82" w:name="OLE_LINK81"/>
      <w:bookmarkStart w:id="83" w:name="OLE_LINK82"/>
      <w:r>
        <w:t>More efficient deleveraging policy or profitability improve</w:t>
      </w:r>
      <w:r w:rsidR="00356958">
        <w:t>me</w:t>
      </w:r>
      <w:r>
        <w:t xml:space="preserve">nt is needed to sustain the debt </w:t>
      </w:r>
      <w:r w:rsidR="007565B0">
        <w:t>condition</w:t>
      </w:r>
      <w:r>
        <w:t xml:space="preserve"> in </w:t>
      </w:r>
      <w:r w:rsidR="007565B0">
        <w:t xml:space="preserve">China’s </w:t>
      </w:r>
      <w:r>
        <w:t>SOEs.</w:t>
      </w:r>
    </w:p>
    <w:p w:rsidR="00BE1A5E" w:rsidRDefault="00BE1A5E" w:rsidP="001A683D">
      <w:pPr>
        <w:spacing w:line="480" w:lineRule="auto"/>
        <w:jc w:val="both"/>
      </w:pPr>
      <w:bookmarkStart w:id="84" w:name="_GoBack"/>
      <w:bookmarkEnd w:id="82"/>
      <w:bookmarkEnd w:id="83"/>
      <w:bookmarkEnd w:id="84"/>
    </w:p>
    <w:p w:rsidR="002237FA" w:rsidRDefault="002237FA" w:rsidP="00FE770A">
      <w:pPr>
        <w:spacing w:line="480" w:lineRule="auto"/>
        <w:jc w:val="center"/>
      </w:pPr>
    </w:p>
    <w:p w:rsidR="00BE1A5E" w:rsidRDefault="00BE1A5E">
      <w:pPr>
        <w:jc w:val="both"/>
      </w:pPr>
    </w:p>
    <w:p w:rsidR="00BE1A5E" w:rsidRDefault="00BE1A5E" w:rsidP="002237FA"/>
    <w:p w:rsidR="002237FA" w:rsidRDefault="002237FA" w:rsidP="002237FA"/>
    <w:p w:rsidR="00BE1A5E" w:rsidRDefault="00BE1A5E"/>
    <w:p w:rsidR="00BE1A5E" w:rsidRDefault="00BE1A5E"/>
    <w:p w:rsidR="00BE1A5E" w:rsidRDefault="00BE1A5E"/>
    <w:p w:rsidR="00BE1A5E" w:rsidRDefault="00BE1A5E"/>
    <w:p w:rsidR="00BE1A5E" w:rsidRDefault="00BE1A5E"/>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973598" w:rsidRDefault="00973598"/>
    <w:p w:rsidR="00BE1A5E" w:rsidRPr="00DD65E0" w:rsidRDefault="00604227">
      <w:pPr>
        <w:jc w:val="center"/>
        <w:rPr>
          <w:b/>
        </w:rPr>
      </w:pPr>
      <w:r w:rsidRPr="00DD65E0">
        <w:rPr>
          <w:b/>
        </w:rPr>
        <w:lastRenderedPageBreak/>
        <w:t xml:space="preserve">Appendix A. Variable </w:t>
      </w:r>
      <w:r w:rsidR="00BA39A9" w:rsidRPr="00DD65E0">
        <w:rPr>
          <w:b/>
        </w:rPr>
        <w:t>definitions</w:t>
      </w:r>
    </w:p>
    <w:p w:rsidR="00717629" w:rsidRPr="00DD65E0" w:rsidRDefault="00BA39A9">
      <w:pPr>
        <w:rPr>
          <w:b/>
        </w:rPr>
      </w:pPr>
      <w:r w:rsidRPr="00DD65E0">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331"/>
      </w:tblGrid>
      <w:tr w:rsidR="00BA39A9" w:rsidRPr="000F277C" w:rsidTr="00A50F85">
        <w:tc>
          <w:tcPr>
            <w:tcW w:w="3119" w:type="dxa"/>
            <w:tcBorders>
              <w:top w:val="single" w:sz="4" w:space="0" w:color="auto"/>
              <w:bottom w:val="single" w:sz="4" w:space="0" w:color="auto"/>
            </w:tcBorders>
          </w:tcPr>
          <w:p w:rsidR="00BA39A9" w:rsidRPr="000F277C" w:rsidRDefault="00BA39A9">
            <w:pPr>
              <w:rPr>
                <w:sz w:val="20"/>
                <w:szCs w:val="20"/>
              </w:rPr>
            </w:pPr>
            <w:r w:rsidRPr="000F277C">
              <w:rPr>
                <w:sz w:val="20"/>
                <w:szCs w:val="20"/>
              </w:rPr>
              <w:t>Variables</w:t>
            </w:r>
          </w:p>
        </w:tc>
        <w:tc>
          <w:tcPr>
            <w:tcW w:w="7331" w:type="dxa"/>
            <w:tcBorders>
              <w:top w:val="single" w:sz="4" w:space="0" w:color="auto"/>
              <w:bottom w:val="single" w:sz="4" w:space="0" w:color="auto"/>
            </w:tcBorders>
          </w:tcPr>
          <w:p w:rsidR="00BA39A9" w:rsidRPr="000F277C" w:rsidRDefault="00BA39A9">
            <w:pPr>
              <w:rPr>
                <w:sz w:val="20"/>
                <w:szCs w:val="20"/>
              </w:rPr>
            </w:pPr>
            <w:r w:rsidRPr="000F277C">
              <w:rPr>
                <w:sz w:val="20"/>
                <w:szCs w:val="20"/>
              </w:rPr>
              <w:t>Definitions</w:t>
            </w:r>
          </w:p>
        </w:tc>
      </w:tr>
      <w:tr w:rsidR="00BA39A9" w:rsidRPr="000F277C" w:rsidTr="00A50F85">
        <w:tc>
          <w:tcPr>
            <w:tcW w:w="3119" w:type="dxa"/>
            <w:tcBorders>
              <w:top w:val="single" w:sz="4" w:space="0" w:color="auto"/>
            </w:tcBorders>
          </w:tcPr>
          <w:p w:rsidR="00BA39A9" w:rsidRPr="000F277C" w:rsidRDefault="00BA39A9">
            <w:pPr>
              <w:rPr>
                <w:sz w:val="20"/>
                <w:szCs w:val="20"/>
              </w:rPr>
            </w:pPr>
            <w:r w:rsidRPr="000F277C">
              <w:rPr>
                <w:sz w:val="20"/>
                <w:szCs w:val="20"/>
              </w:rPr>
              <w:t>Leverage ratio</w:t>
            </w:r>
          </w:p>
        </w:tc>
        <w:tc>
          <w:tcPr>
            <w:tcW w:w="7331" w:type="dxa"/>
            <w:tcBorders>
              <w:top w:val="single" w:sz="4" w:space="0" w:color="auto"/>
            </w:tcBorders>
          </w:tcPr>
          <w:p w:rsidR="00BA39A9" w:rsidRPr="000F277C" w:rsidRDefault="00BA39A9">
            <w:pPr>
              <w:rPr>
                <w:sz w:val="20"/>
                <w:szCs w:val="20"/>
              </w:rPr>
            </w:pPr>
            <w:r w:rsidRPr="000F277C">
              <w:rPr>
                <w:sz w:val="20"/>
                <w:szCs w:val="20"/>
              </w:rPr>
              <w:t>Debt-to-assets ratio; total liabilities divided by total assets</w:t>
            </w:r>
          </w:p>
        </w:tc>
      </w:tr>
      <w:tr w:rsidR="00BA39A9" w:rsidRPr="000F277C" w:rsidTr="00A50F85">
        <w:tc>
          <w:tcPr>
            <w:tcW w:w="3119" w:type="dxa"/>
          </w:tcPr>
          <w:p w:rsidR="00BA39A9" w:rsidRPr="000F277C" w:rsidRDefault="00BA39A9">
            <w:pPr>
              <w:rPr>
                <w:sz w:val="20"/>
                <w:szCs w:val="20"/>
              </w:rPr>
            </w:pPr>
            <w:r w:rsidRPr="000F277C">
              <w:rPr>
                <w:sz w:val="20"/>
                <w:szCs w:val="20"/>
              </w:rPr>
              <w:t>Profitability</w:t>
            </w:r>
          </w:p>
        </w:tc>
        <w:tc>
          <w:tcPr>
            <w:tcW w:w="7331" w:type="dxa"/>
          </w:tcPr>
          <w:p w:rsidR="00BA39A9" w:rsidRPr="000F277C" w:rsidRDefault="00BA39A9">
            <w:pPr>
              <w:rPr>
                <w:sz w:val="20"/>
                <w:szCs w:val="20"/>
              </w:rPr>
            </w:pPr>
            <w:r w:rsidRPr="000F277C">
              <w:rPr>
                <w:sz w:val="20"/>
                <w:szCs w:val="20"/>
              </w:rPr>
              <w:t>Operating profit margin; operating Profits (EBIT) divided by total operating revenue</w:t>
            </w:r>
          </w:p>
        </w:tc>
      </w:tr>
      <w:tr w:rsidR="007C1E19" w:rsidRPr="000F277C" w:rsidTr="00A50F85">
        <w:tc>
          <w:tcPr>
            <w:tcW w:w="3119" w:type="dxa"/>
          </w:tcPr>
          <w:p w:rsidR="007C1E19" w:rsidRPr="000F277C" w:rsidRDefault="007C1E19" w:rsidP="00CC367A">
            <w:pPr>
              <w:rPr>
                <w:sz w:val="20"/>
                <w:szCs w:val="20"/>
              </w:rPr>
            </w:pPr>
            <w:r w:rsidRPr="000F277C">
              <w:rPr>
                <w:sz w:val="20"/>
                <w:szCs w:val="20"/>
              </w:rPr>
              <w:t>Liquidity ratio</w:t>
            </w:r>
          </w:p>
        </w:tc>
        <w:tc>
          <w:tcPr>
            <w:tcW w:w="7331" w:type="dxa"/>
          </w:tcPr>
          <w:p w:rsidR="007C1E19" w:rsidRPr="000F277C" w:rsidRDefault="007C1E19" w:rsidP="00CC367A">
            <w:pPr>
              <w:rPr>
                <w:sz w:val="20"/>
                <w:szCs w:val="20"/>
              </w:rPr>
            </w:pPr>
            <w:r w:rsidRPr="000F277C">
              <w:rPr>
                <w:sz w:val="20"/>
                <w:szCs w:val="20"/>
              </w:rPr>
              <w:t>Current ratio; current assets divided by current liabilities</w:t>
            </w:r>
          </w:p>
        </w:tc>
      </w:tr>
      <w:tr w:rsidR="007C1E19" w:rsidRPr="000F277C" w:rsidTr="00A50F85">
        <w:tc>
          <w:tcPr>
            <w:tcW w:w="3119" w:type="dxa"/>
          </w:tcPr>
          <w:p w:rsidR="007C1E19" w:rsidRPr="000F277C" w:rsidRDefault="007C1E19" w:rsidP="00CC367A">
            <w:pPr>
              <w:rPr>
                <w:sz w:val="20"/>
                <w:szCs w:val="20"/>
              </w:rPr>
            </w:pPr>
            <w:r w:rsidRPr="000F277C">
              <w:rPr>
                <w:sz w:val="20"/>
                <w:szCs w:val="20"/>
              </w:rPr>
              <w:t>Solvency ratio</w:t>
            </w:r>
          </w:p>
        </w:tc>
        <w:tc>
          <w:tcPr>
            <w:tcW w:w="7331" w:type="dxa"/>
          </w:tcPr>
          <w:p w:rsidR="007C1E19" w:rsidRPr="000F277C" w:rsidRDefault="007C1E19" w:rsidP="00CC367A">
            <w:pPr>
              <w:rPr>
                <w:sz w:val="20"/>
                <w:szCs w:val="20"/>
              </w:rPr>
            </w:pPr>
            <w:r w:rsidRPr="000F277C">
              <w:rPr>
                <w:sz w:val="20"/>
                <w:szCs w:val="20"/>
              </w:rPr>
              <w:t>Interest coverage ratio; operating profits (EBIT) divided by interest expense</w:t>
            </w:r>
          </w:p>
        </w:tc>
      </w:tr>
      <w:tr w:rsidR="00412E93" w:rsidRPr="000F277C" w:rsidTr="00A50F85">
        <w:tc>
          <w:tcPr>
            <w:tcW w:w="3119" w:type="dxa"/>
          </w:tcPr>
          <w:p w:rsidR="00412E93" w:rsidRPr="000F277C" w:rsidRDefault="00412E93" w:rsidP="00CC367A">
            <w:pPr>
              <w:rPr>
                <w:sz w:val="20"/>
                <w:szCs w:val="20"/>
              </w:rPr>
            </w:pPr>
            <w:r w:rsidRPr="000F277C">
              <w:rPr>
                <w:sz w:val="20"/>
                <w:szCs w:val="20"/>
              </w:rPr>
              <w:t>Net profit</w:t>
            </w:r>
          </w:p>
        </w:tc>
        <w:tc>
          <w:tcPr>
            <w:tcW w:w="7331" w:type="dxa"/>
          </w:tcPr>
          <w:p w:rsidR="00412E93" w:rsidRPr="000F277C" w:rsidRDefault="00412E93" w:rsidP="00CC367A">
            <w:pPr>
              <w:rPr>
                <w:sz w:val="20"/>
                <w:szCs w:val="20"/>
              </w:rPr>
            </w:pPr>
            <w:r w:rsidRPr="000F277C">
              <w:rPr>
                <w:sz w:val="20"/>
                <w:szCs w:val="20"/>
              </w:rPr>
              <w:t>Net income after tax and interest payment</w:t>
            </w:r>
          </w:p>
        </w:tc>
      </w:tr>
      <w:tr w:rsidR="00BA39A9" w:rsidRPr="000F277C" w:rsidTr="00A50F85">
        <w:tc>
          <w:tcPr>
            <w:tcW w:w="3119" w:type="dxa"/>
          </w:tcPr>
          <w:p w:rsidR="00BA39A9" w:rsidRPr="000F277C" w:rsidRDefault="00906D53">
            <w:pPr>
              <w:rPr>
                <w:sz w:val="20"/>
                <w:szCs w:val="20"/>
              </w:rPr>
            </w:pPr>
            <w:r w:rsidRPr="000F277C">
              <w:rPr>
                <w:sz w:val="20"/>
                <w:szCs w:val="20"/>
              </w:rPr>
              <w:t xml:space="preserve">Return on </w:t>
            </w:r>
            <w:r w:rsidR="0091793A" w:rsidRPr="000F277C">
              <w:rPr>
                <w:sz w:val="20"/>
                <w:szCs w:val="20"/>
              </w:rPr>
              <w:t>i</w:t>
            </w:r>
            <w:r w:rsidRPr="000F277C">
              <w:rPr>
                <w:sz w:val="20"/>
                <w:szCs w:val="20"/>
              </w:rPr>
              <w:t xml:space="preserve">nvested </w:t>
            </w:r>
            <w:r w:rsidR="0091793A" w:rsidRPr="000F277C">
              <w:rPr>
                <w:sz w:val="20"/>
                <w:szCs w:val="20"/>
              </w:rPr>
              <w:t>c</w:t>
            </w:r>
            <w:r w:rsidRPr="000F277C">
              <w:rPr>
                <w:sz w:val="20"/>
                <w:szCs w:val="20"/>
              </w:rPr>
              <w:t xml:space="preserve">apital </w:t>
            </w:r>
          </w:p>
        </w:tc>
        <w:tc>
          <w:tcPr>
            <w:tcW w:w="7331" w:type="dxa"/>
          </w:tcPr>
          <w:p w:rsidR="00BA39A9" w:rsidRPr="000F277C" w:rsidRDefault="00906D53">
            <w:pPr>
              <w:rPr>
                <w:sz w:val="20"/>
                <w:szCs w:val="20"/>
              </w:rPr>
            </w:pPr>
            <w:r w:rsidRPr="000F277C">
              <w:rPr>
                <w:sz w:val="20"/>
                <w:szCs w:val="20"/>
              </w:rPr>
              <w:t>Net operating profit after tax divided by total invested capital</w:t>
            </w:r>
          </w:p>
        </w:tc>
      </w:tr>
      <w:tr w:rsidR="00BA39A9" w:rsidRPr="000F277C" w:rsidTr="00A50F85">
        <w:tc>
          <w:tcPr>
            <w:tcW w:w="3119" w:type="dxa"/>
          </w:tcPr>
          <w:p w:rsidR="00BA39A9" w:rsidRPr="000F277C" w:rsidRDefault="00906D53">
            <w:pPr>
              <w:rPr>
                <w:sz w:val="20"/>
                <w:szCs w:val="20"/>
              </w:rPr>
            </w:pPr>
            <w:r w:rsidRPr="000F277C">
              <w:rPr>
                <w:sz w:val="20"/>
                <w:szCs w:val="20"/>
              </w:rPr>
              <w:t>Net profit margin</w:t>
            </w:r>
          </w:p>
        </w:tc>
        <w:tc>
          <w:tcPr>
            <w:tcW w:w="7331" w:type="dxa"/>
          </w:tcPr>
          <w:p w:rsidR="00BA39A9" w:rsidRPr="000F277C" w:rsidRDefault="00906D53">
            <w:pPr>
              <w:rPr>
                <w:sz w:val="20"/>
                <w:szCs w:val="20"/>
              </w:rPr>
            </w:pPr>
            <w:r w:rsidRPr="000F277C">
              <w:rPr>
                <w:sz w:val="20"/>
                <w:szCs w:val="20"/>
              </w:rPr>
              <w:t>Net profit divided by total operating revenue</w:t>
            </w:r>
          </w:p>
        </w:tc>
      </w:tr>
      <w:tr w:rsidR="00BA39A9" w:rsidRPr="000F277C" w:rsidTr="00A50F85">
        <w:tc>
          <w:tcPr>
            <w:tcW w:w="3119" w:type="dxa"/>
          </w:tcPr>
          <w:p w:rsidR="00BA39A9" w:rsidRPr="000F277C" w:rsidRDefault="00906D53">
            <w:pPr>
              <w:rPr>
                <w:sz w:val="20"/>
                <w:szCs w:val="20"/>
              </w:rPr>
            </w:pPr>
            <w:r w:rsidRPr="000F277C">
              <w:rPr>
                <w:sz w:val="20"/>
                <w:szCs w:val="20"/>
              </w:rPr>
              <w:t>Central</w:t>
            </w:r>
          </w:p>
        </w:tc>
        <w:tc>
          <w:tcPr>
            <w:tcW w:w="7331" w:type="dxa"/>
          </w:tcPr>
          <w:p w:rsidR="00BA39A9" w:rsidRPr="000F277C" w:rsidRDefault="000B1E45">
            <w:pPr>
              <w:rPr>
                <w:sz w:val="20"/>
                <w:szCs w:val="20"/>
              </w:rPr>
            </w:pPr>
            <w:r w:rsidRPr="000F277C">
              <w:rPr>
                <w:sz w:val="20"/>
                <w:szCs w:val="20"/>
              </w:rPr>
              <w:t xml:space="preserve">A dummy variable </w:t>
            </w:r>
            <w:r w:rsidR="00966830" w:rsidRPr="000F277C">
              <w:rPr>
                <w:sz w:val="20"/>
                <w:szCs w:val="20"/>
              </w:rPr>
              <w:t>taking the value of 1 if the firm is a central SOEs, and 0 otherwise</w:t>
            </w:r>
          </w:p>
        </w:tc>
      </w:tr>
      <w:tr w:rsidR="00580652" w:rsidRPr="000F277C" w:rsidTr="00A50F85">
        <w:tc>
          <w:tcPr>
            <w:tcW w:w="3119" w:type="dxa"/>
          </w:tcPr>
          <w:p w:rsidR="00580652" w:rsidRPr="000F277C" w:rsidRDefault="00580652">
            <w:pPr>
              <w:rPr>
                <w:sz w:val="20"/>
                <w:szCs w:val="20"/>
              </w:rPr>
            </w:pPr>
            <w:r w:rsidRPr="000F277C">
              <w:rPr>
                <w:sz w:val="20"/>
                <w:szCs w:val="20"/>
              </w:rPr>
              <w:t>Size</w:t>
            </w:r>
          </w:p>
        </w:tc>
        <w:tc>
          <w:tcPr>
            <w:tcW w:w="7331" w:type="dxa"/>
          </w:tcPr>
          <w:p w:rsidR="00580652" w:rsidRPr="000F277C" w:rsidRDefault="00580652">
            <w:pPr>
              <w:rPr>
                <w:sz w:val="20"/>
                <w:szCs w:val="20"/>
              </w:rPr>
            </w:pPr>
            <w:r w:rsidRPr="000F277C">
              <w:rPr>
                <w:sz w:val="20"/>
                <w:szCs w:val="20"/>
              </w:rPr>
              <w:t>Natural logarithm of book value of total assets</w:t>
            </w:r>
          </w:p>
        </w:tc>
      </w:tr>
      <w:tr w:rsidR="00580652" w:rsidRPr="000F277C" w:rsidTr="00A50F85">
        <w:tc>
          <w:tcPr>
            <w:tcW w:w="3119" w:type="dxa"/>
          </w:tcPr>
          <w:p w:rsidR="00580652" w:rsidRPr="000F277C" w:rsidRDefault="00213F2B" w:rsidP="00CC367A">
            <w:pPr>
              <w:rPr>
                <w:sz w:val="20"/>
                <w:szCs w:val="20"/>
              </w:rPr>
            </w:pPr>
            <w:r w:rsidRPr="000F277C">
              <w:rPr>
                <w:sz w:val="20"/>
                <w:szCs w:val="20"/>
              </w:rPr>
              <w:t xml:space="preserve">Capital </w:t>
            </w:r>
            <w:r w:rsidR="0091793A" w:rsidRPr="000F277C">
              <w:rPr>
                <w:sz w:val="20"/>
                <w:szCs w:val="20"/>
              </w:rPr>
              <w:t>e</w:t>
            </w:r>
            <w:r w:rsidRPr="000F277C">
              <w:rPr>
                <w:sz w:val="20"/>
                <w:szCs w:val="20"/>
              </w:rPr>
              <w:t>xpenditure</w:t>
            </w:r>
            <w:r w:rsidR="008508C7" w:rsidRPr="000F277C">
              <w:rPr>
                <w:rStyle w:val="FootnoteReference"/>
                <w:sz w:val="20"/>
                <w:szCs w:val="20"/>
              </w:rPr>
              <w:footnoteReference w:id="6"/>
            </w:r>
          </w:p>
        </w:tc>
        <w:tc>
          <w:tcPr>
            <w:tcW w:w="7331" w:type="dxa"/>
          </w:tcPr>
          <w:p w:rsidR="00580652" w:rsidRPr="000F277C" w:rsidRDefault="00213F2B" w:rsidP="00CC367A">
            <w:pPr>
              <w:rPr>
                <w:sz w:val="20"/>
                <w:szCs w:val="20"/>
              </w:rPr>
            </w:pPr>
            <w:r w:rsidRPr="000F277C">
              <w:rPr>
                <w:sz w:val="20"/>
                <w:szCs w:val="20"/>
              </w:rPr>
              <w:t>Capital expenditure divided by total assets</w:t>
            </w:r>
          </w:p>
        </w:tc>
      </w:tr>
      <w:tr w:rsidR="00580652" w:rsidRPr="000F277C" w:rsidTr="00A50F85">
        <w:tc>
          <w:tcPr>
            <w:tcW w:w="3119" w:type="dxa"/>
          </w:tcPr>
          <w:p w:rsidR="00580652" w:rsidRPr="000F277C" w:rsidRDefault="00683239" w:rsidP="00CC367A">
            <w:pPr>
              <w:rPr>
                <w:sz w:val="20"/>
                <w:szCs w:val="20"/>
              </w:rPr>
            </w:pPr>
            <w:r w:rsidRPr="000F277C">
              <w:rPr>
                <w:sz w:val="20"/>
                <w:szCs w:val="20"/>
              </w:rPr>
              <w:t>Increased investment</w:t>
            </w:r>
          </w:p>
        </w:tc>
        <w:tc>
          <w:tcPr>
            <w:tcW w:w="7331" w:type="dxa"/>
          </w:tcPr>
          <w:p w:rsidR="00580652" w:rsidRPr="000F277C" w:rsidRDefault="0040263C" w:rsidP="00CC367A">
            <w:pPr>
              <w:rPr>
                <w:sz w:val="20"/>
                <w:szCs w:val="20"/>
              </w:rPr>
            </w:pPr>
            <w:r w:rsidRPr="000F277C">
              <w:rPr>
                <w:sz w:val="20"/>
                <w:szCs w:val="20"/>
              </w:rPr>
              <w:t>Increased investment divided by total assets</w:t>
            </w:r>
          </w:p>
        </w:tc>
      </w:tr>
      <w:tr w:rsidR="00580652" w:rsidRPr="000F277C" w:rsidTr="00A50F85">
        <w:tc>
          <w:tcPr>
            <w:tcW w:w="3119" w:type="dxa"/>
          </w:tcPr>
          <w:p w:rsidR="00580652" w:rsidRPr="000F277C" w:rsidRDefault="00C60329" w:rsidP="00CC367A">
            <w:pPr>
              <w:rPr>
                <w:sz w:val="20"/>
                <w:szCs w:val="20"/>
              </w:rPr>
            </w:pPr>
            <w:r w:rsidRPr="000F277C">
              <w:rPr>
                <w:sz w:val="20"/>
                <w:szCs w:val="20"/>
              </w:rPr>
              <w:t>Market-to-book ratio</w:t>
            </w:r>
          </w:p>
        </w:tc>
        <w:tc>
          <w:tcPr>
            <w:tcW w:w="7331" w:type="dxa"/>
          </w:tcPr>
          <w:p w:rsidR="00C60329" w:rsidRPr="000F277C" w:rsidRDefault="00C60329" w:rsidP="00CC367A">
            <w:pPr>
              <w:rPr>
                <w:sz w:val="20"/>
                <w:szCs w:val="20"/>
              </w:rPr>
            </w:pPr>
            <w:r w:rsidRPr="000F277C">
              <w:rPr>
                <w:sz w:val="20"/>
                <w:szCs w:val="20"/>
              </w:rPr>
              <w:t>Market capitalization divided by book value of equity</w:t>
            </w:r>
          </w:p>
        </w:tc>
      </w:tr>
    </w:tbl>
    <w:p w:rsidR="00BE1A5E" w:rsidRDefault="00BE1A5E">
      <w:pPr>
        <w:rPr>
          <w:rFonts w:ascii="Arial" w:eastAsia="Arial" w:hAnsi="Arial" w:cs="Arial"/>
          <w:color w:val="0000FF"/>
          <w:sz w:val="22"/>
          <w:szCs w:val="22"/>
          <w:highlight w:val="white"/>
        </w:rPr>
      </w:pPr>
    </w:p>
    <w:p w:rsidR="00BE1A5E" w:rsidRPr="00DD65E0" w:rsidRDefault="00C70B2F" w:rsidP="00471D9E">
      <w:pPr>
        <w:jc w:val="center"/>
        <w:rPr>
          <w:b/>
        </w:rPr>
      </w:pPr>
      <w:r w:rsidRPr="00DD65E0">
        <w:rPr>
          <w:b/>
        </w:rPr>
        <w:t>Appendix</w:t>
      </w:r>
      <w:r w:rsidR="00471D9E" w:rsidRPr="00DD65E0">
        <w:rPr>
          <w:b/>
        </w:rPr>
        <w:t xml:space="preserve"> B.</w:t>
      </w:r>
      <w:r w:rsidRPr="00DD65E0">
        <w:rPr>
          <w:b/>
        </w:rPr>
        <w:t xml:space="preserve"> </w:t>
      </w:r>
      <w:r w:rsidR="00BE0961">
        <w:rPr>
          <w:b/>
        </w:rPr>
        <w:t>L</w:t>
      </w:r>
      <w:r w:rsidR="00471D9E" w:rsidRPr="00DD65E0">
        <w:rPr>
          <w:b/>
        </w:rPr>
        <w:t>everage and profitability of SOEs</w:t>
      </w:r>
      <w:r w:rsidR="00B24665">
        <w:rPr>
          <w:b/>
        </w:rPr>
        <w:t xml:space="preserve"> </w:t>
      </w:r>
      <w:r w:rsidR="00471D9E" w:rsidRPr="00DD65E0">
        <w:rPr>
          <w:b/>
        </w:rPr>
        <w:t xml:space="preserve">in </w:t>
      </w:r>
      <w:r w:rsidRPr="00DD65E0">
        <w:rPr>
          <w:b/>
        </w:rPr>
        <w:t>other industries</w:t>
      </w:r>
    </w:p>
    <w:p w:rsidR="00164791" w:rsidRDefault="00164791" w:rsidP="00471D9E">
      <w:pPr>
        <w:jc w:val="center"/>
      </w:pPr>
    </w:p>
    <w:p w:rsidR="00E70FC8" w:rsidRDefault="00012433" w:rsidP="00E70FC8">
      <w:pPr>
        <w:jc w:val="center"/>
      </w:pPr>
      <w:r>
        <w:rPr>
          <w:noProof/>
        </w:rPr>
        <w:drawing>
          <wp:inline distT="0" distB="0" distL="0" distR="0">
            <wp:extent cx="2881937" cy="161502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ng"/>
                    <pic:cNvPicPr/>
                  </pic:nvPicPr>
                  <pic:blipFill rotWithShape="1">
                    <a:blip r:embed="rId21" cstate="print">
                      <a:extLst>
                        <a:ext uri="{28A0092B-C50C-407E-A947-70E740481C1C}">
                          <a14:useLocalDpi xmlns:a14="http://schemas.microsoft.com/office/drawing/2010/main" val="0"/>
                        </a:ext>
                      </a:extLst>
                    </a:blip>
                    <a:srcRect l="1313" t="2355" r="1577" b="-6"/>
                    <a:stretch/>
                  </pic:blipFill>
                  <pic:spPr bwMode="auto">
                    <a:xfrm>
                      <a:off x="0" y="0"/>
                      <a:ext cx="2921422" cy="1637154"/>
                    </a:xfrm>
                    <a:prstGeom prst="rect">
                      <a:avLst/>
                    </a:prstGeom>
                    <a:ln>
                      <a:noFill/>
                    </a:ln>
                    <a:extLst>
                      <a:ext uri="{53640926-AAD7-44D8-BBD7-CCE9431645EC}">
                        <a14:shadowObscured xmlns:a14="http://schemas.microsoft.com/office/drawing/2010/main"/>
                      </a:ext>
                    </a:extLst>
                  </pic:spPr>
                </pic:pic>
              </a:graphicData>
            </a:graphic>
          </wp:inline>
        </w:drawing>
      </w:r>
      <w:r w:rsidR="00DF6477">
        <w:tab/>
      </w:r>
      <w:r w:rsidR="00DF6477">
        <w:tab/>
      </w:r>
      <w:r>
        <w:rPr>
          <w:noProof/>
        </w:rPr>
        <w:drawing>
          <wp:inline distT="0" distB="0" distL="0" distR="0">
            <wp:extent cx="2881937" cy="160356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png"/>
                    <pic:cNvPicPr/>
                  </pic:nvPicPr>
                  <pic:blipFill rotWithShape="1">
                    <a:blip r:embed="rId22" cstate="print">
                      <a:extLst>
                        <a:ext uri="{28A0092B-C50C-407E-A947-70E740481C1C}">
                          <a14:useLocalDpi xmlns:a14="http://schemas.microsoft.com/office/drawing/2010/main" val="0"/>
                        </a:ext>
                      </a:extLst>
                    </a:blip>
                    <a:srcRect l="1784" t="1963" r="1256" b="2993"/>
                    <a:stretch/>
                  </pic:blipFill>
                  <pic:spPr bwMode="auto">
                    <a:xfrm>
                      <a:off x="0" y="0"/>
                      <a:ext cx="2906687" cy="1617341"/>
                    </a:xfrm>
                    <a:prstGeom prst="rect">
                      <a:avLst/>
                    </a:prstGeom>
                    <a:ln>
                      <a:noFill/>
                    </a:ln>
                    <a:extLst>
                      <a:ext uri="{53640926-AAD7-44D8-BBD7-CCE9431645EC}">
                        <a14:shadowObscured xmlns:a14="http://schemas.microsoft.com/office/drawing/2010/main"/>
                      </a:ext>
                    </a:extLst>
                  </pic:spPr>
                </pic:pic>
              </a:graphicData>
            </a:graphic>
          </wp:inline>
        </w:drawing>
      </w:r>
    </w:p>
    <w:p w:rsidR="00164791" w:rsidRPr="00471D9E" w:rsidRDefault="00012433" w:rsidP="00E70FC8">
      <w:pPr>
        <w:jc w:val="center"/>
      </w:pPr>
      <w:r>
        <w:rPr>
          <w:noProof/>
        </w:rPr>
        <w:drawing>
          <wp:inline distT="0" distB="0" distL="0" distR="0">
            <wp:extent cx="2888243" cy="1537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png"/>
                    <pic:cNvPicPr/>
                  </pic:nvPicPr>
                  <pic:blipFill rotWithShape="1">
                    <a:blip r:embed="rId23" cstate="print">
                      <a:extLst>
                        <a:ext uri="{28A0092B-C50C-407E-A947-70E740481C1C}">
                          <a14:useLocalDpi xmlns:a14="http://schemas.microsoft.com/office/drawing/2010/main" val="0"/>
                        </a:ext>
                      </a:extLst>
                    </a:blip>
                    <a:srcRect l="1526" t="3172" r="1481" b="2843"/>
                    <a:stretch/>
                  </pic:blipFill>
                  <pic:spPr bwMode="auto">
                    <a:xfrm>
                      <a:off x="0" y="0"/>
                      <a:ext cx="2905452" cy="1546968"/>
                    </a:xfrm>
                    <a:prstGeom prst="rect">
                      <a:avLst/>
                    </a:prstGeom>
                    <a:ln>
                      <a:noFill/>
                    </a:ln>
                    <a:extLst>
                      <a:ext uri="{53640926-AAD7-44D8-BBD7-CCE9431645EC}">
                        <a14:shadowObscured xmlns:a14="http://schemas.microsoft.com/office/drawing/2010/main"/>
                      </a:ext>
                    </a:extLst>
                  </pic:spPr>
                </pic:pic>
              </a:graphicData>
            </a:graphic>
          </wp:inline>
        </w:drawing>
      </w:r>
      <w:r w:rsidR="00DF6477">
        <w:tab/>
      </w:r>
      <w:r w:rsidR="00DF6477">
        <w:tab/>
      </w:r>
      <w:r w:rsidR="00B77014">
        <w:rPr>
          <w:noProof/>
        </w:rPr>
        <w:drawing>
          <wp:inline distT="0" distB="0" distL="0" distR="0">
            <wp:extent cx="2881936" cy="1555096"/>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png"/>
                    <pic:cNvPicPr/>
                  </pic:nvPicPr>
                  <pic:blipFill rotWithShape="1">
                    <a:blip r:embed="rId24" cstate="print">
                      <a:extLst>
                        <a:ext uri="{28A0092B-C50C-407E-A947-70E740481C1C}">
                          <a14:useLocalDpi xmlns:a14="http://schemas.microsoft.com/office/drawing/2010/main" val="0"/>
                        </a:ext>
                      </a:extLst>
                    </a:blip>
                    <a:srcRect l="1475" t="1774" r="1417" b="3609"/>
                    <a:stretch/>
                  </pic:blipFill>
                  <pic:spPr bwMode="auto">
                    <a:xfrm>
                      <a:off x="0" y="0"/>
                      <a:ext cx="2920317" cy="157580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888243" cy="1564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png"/>
                    <pic:cNvPicPr/>
                  </pic:nvPicPr>
                  <pic:blipFill rotWithShape="1">
                    <a:blip r:embed="rId25" cstate="print">
                      <a:extLst>
                        <a:ext uri="{28A0092B-C50C-407E-A947-70E740481C1C}">
                          <a14:useLocalDpi xmlns:a14="http://schemas.microsoft.com/office/drawing/2010/main" val="0"/>
                        </a:ext>
                      </a:extLst>
                    </a:blip>
                    <a:srcRect l="982" t="2794" b="1823"/>
                    <a:stretch/>
                  </pic:blipFill>
                  <pic:spPr bwMode="auto">
                    <a:xfrm>
                      <a:off x="0" y="0"/>
                      <a:ext cx="2913002" cy="1577952"/>
                    </a:xfrm>
                    <a:prstGeom prst="rect">
                      <a:avLst/>
                    </a:prstGeom>
                    <a:ln>
                      <a:noFill/>
                    </a:ln>
                    <a:extLst>
                      <a:ext uri="{53640926-AAD7-44D8-BBD7-CCE9431645EC}">
                        <a14:shadowObscured xmlns:a14="http://schemas.microsoft.com/office/drawing/2010/main"/>
                      </a:ext>
                    </a:extLst>
                  </pic:spPr>
                </pic:pic>
              </a:graphicData>
            </a:graphic>
          </wp:inline>
        </w:drawing>
      </w:r>
      <w:r w:rsidR="00DF6477">
        <w:tab/>
      </w:r>
      <w:r w:rsidR="00DF6477">
        <w:tab/>
      </w:r>
      <w:r>
        <w:rPr>
          <w:noProof/>
        </w:rPr>
        <w:drawing>
          <wp:inline distT="0" distB="0" distL="0" distR="0">
            <wp:extent cx="2857799" cy="15261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png"/>
                    <pic:cNvPicPr/>
                  </pic:nvPicPr>
                  <pic:blipFill rotWithShape="1">
                    <a:blip r:embed="rId26" cstate="print">
                      <a:extLst>
                        <a:ext uri="{28A0092B-C50C-407E-A947-70E740481C1C}">
                          <a14:useLocalDpi xmlns:a14="http://schemas.microsoft.com/office/drawing/2010/main" val="0"/>
                        </a:ext>
                      </a:extLst>
                    </a:blip>
                    <a:srcRect l="1149" t="2478" r="1149" b="3753"/>
                    <a:stretch/>
                  </pic:blipFill>
                  <pic:spPr bwMode="auto">
                    <a:xfrm>
                      <a:off x="0" y="0"/>
                      <a:ext cx="2929486" cy="156445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887592" cy="15512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png"/>
                    <pic:cNvPicPr/>
                  </pic:nvPicPr>
                  <pic:blipFill rotWithShape="1">
                    <a:blip r:embed="rId27" cstate="print">
                      <a:extLst>
                        <a:ext uri="{28A0092B-C50C-407E-A947-70E740481C1C}">
                          <a14:useLocalDpi xmlns:a14="http://schemas.microsoft.com/office/drawing/2010/main" val="0"/>
                        </a:ext>
                      </a:extLst>
                    </a:blip>
                    <a:srcRect l="1294" t="2780" r="1403" b="3572"/>
                    <a:stretch/>
                  </pic:blipFill>
                  <pic:spPr bwMode="auto">
                    <a:xfrm>
                      <a:off x="0" y="0"/>
                      <a:ext cx="2925574" cy="1571665"/>
                    </a:xfrm>
                    <a:prstGeom prst="rect">
                      <a:avLst/>
                    </a:prstGeom>
                    <a:ln>
                      <a:noFill/>
                    </a:ln>
                    <a:extLst>
                      <a:ext uri="{53640926-AAD7-44D8-BBD7-CCE9431645EC}">
                        <a14:shadowObscured xmlns:a14="http://schemas.microsoft.com/office/drawing/2010/main"/>
                      </a:ext>
                    </a:extLst>
                  </pic:spPr>
                </pic:pic>
              </a:graphicData>
            </a:graphic>
          </wp:inline>
        </w:drawing>
      </w:r>
      <w:r w:rsidR="00DF6477">
        <w:tab/>
      </w:r>
      <w:r w:rsidR="00DF6477">
        <w:tab/>
      </w:r>
      <w:r>
        <w:rPr>
          <w:noProof/>
        </w:rPr>
        <w:drawing>
          <wp:inline distT="0" distB="0" distL="0" distR="0">
            <wp:extent cx="2891892" cy="150044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png"/>
                    <pic:cNvPicPr/>
                  </pic:nvPicPr>
                  <pic:blipFill rotWithShape="1">
                    <a:blip r:embed="rId28" cstate="print">
                      <a:extLst>
                        <a:ext uri="{28A0092B-C50C-407E-A947-70E740481C1C}">
                          <a14:useLocalDpi xmlns:a14="http://schemas.microsoft.com/office/drawing/2010/main" val="0"/>
                        </a:ext>
                      </a:extLst>
                    </a:blip>
                    <a:srcRect l="1422" t="2612" b="3336"/>
                    <a:stretch/>
                  </pic:blipFill>
                  <pic:spPr bwMode="auto">
                    <a:xfrm>
                      <a:off x="0" y="0"/>
                      <a:ext cx="2929378" cy="1519889"/>
                    </a:xfrm>
                    <a:prstGeom prst="rect">
                      <a:avLst/>
                    </a:prstGeom>
                    <a:ln>
                      <a:noFill/>
                    </a:ln>
                    <a:extLst>
                      <a:ext uri="{53640926-AAD7-44D8-BBD7-CCE9431645EC}">
                        <a14:shadowObscured xmlns:a14="http://schemas.microsoft.com/office/drawing/2010/main"/>
                      </a:ext>
                    </a:extLst>
                  </pic:spPr>
                </pic:pic>
              </a:graphicData>
            </a:graphic>
          </wp:inline>
        </w:drawing>
      </w:r>
    </w:p>
    <w:p w:rsidR="00BE1A5E" w:rsidRDefault="00BE1A5E">
      <w:pPr>
        <w:rPr>
          <w:rFonts w:ascii="Arial" w:eastAsia="Arial" w:hAnsi="Arial" w:cs="Arial"/>
          <w:color w:val="0000FF"/>
          <w:sz w:val="22"/>
          <w:szCs w:val="22"/>
          <w:highlight w:val="white"/>
        </w:rPr>
      </w:pPr>
    </w:p>
    <w:p w:rsidR="00BE1A5E" w:rsidRDefault="00BE1A5E">
      <w:pPr>
        <w:rPr>
          <w:rFonts w:ascii="Arial" w:eastAsia="Arial" w:hAnsi="Arial" w:cs="Arial"/>
          <w:color w:val="0000FF"/>
          <w:sz w:val="22"/>
          <w:szCs w:val="22"/>
          <w:highlight w:val="white"/>
        </w:rPr>
      </w:pPr>
    </w:p>
    <w:p w:rsidR="00BE1A5E" w:rsidRPr="00254D0F" w:rsidRDefault="00104C1B" w:rsidP="00104C1B">
      <w:pPr>
        <w:jc w:val="center"/>
        <w:rPr>
          <w:b/>
        </w:rPr>
      </w:pPr>
      <w:r w:rsidRPr="00254D0F">
        <w:rPr>
          <w:b/>
        </w:rPr>
        <w:t>Appendix C. Additional regression results on firm characteristics</w:t>
      </w:r>
    </w:p>
    <w:p w:rsidR="00BE1A5E" w:rsidRDefault="00BE1A5E"/>
    <w:tbl>
      <w:tblPr>
        <w:tblW w:w="10368" w:type="dxa"/>
        <w:tblLook w:val="04A0" w:firstRow="1" w:lastRow="0" w:firstColumn="1" w:lastColumn="0" w:noHBand="0" w:noVBand="1"/>
      </w:tblPr>
      <w:tblGrid>
        <w:gridCol w:w="2268"/>
        <w:gridCol w:w="1276"/>
        <w:gridCol w:w="1276"/>
        <w:gridCol w:w="1276"/>
        <w:gridCol w:w="1275"/>
        <w:gridCol w:w="1418"/>
        <w:gridCol w:w="1579"/>
      </w:tblGrid>
      <w:tr w:rsidR="0052798C" w:rsidRPr="0052798C" w:rsidTr="00986A02">
        <w:trPr>
          <w:trHeight w:val="293"/>
        </w:trPr>
        <w:tc>
          <w:tcPr>
            <w:tcW w:w="10368" w:type="dxa"/>
            <w:gridSpan w:val="7"/>
            <w:tcBorders>
              <w:top w:val="nil"/>
              <w:left w:val="nil"/>
              <w:bottom w:val="single" w:sz="4" w:space="0" w:color="auto"/>
              <w:right w:val="nil"/>
            </w:tcBorders>
            <w:shd w:val="clear" w:color="auto" w:fill="auto"/>
            <w:noWrap/>
            <w:vAlign w:val="bottom"/>
            <w:hideMark/>
          </w:tcPr>
          <w:p w:rsidR="0052798C" w:rsidRPr="0052798C" w:rsidRDefault="0052798C">
            <w:pPr>
              <w:jc w:val="center"/>
              <w:rPr>
                <w:color w:val="000000"/>
                <w:sz w:val="20"/>
                <w:szCs w:val="20"/>
              </w:rPr>
            </w:pPr>
            <w:r w:rsidRPr="0052798C">
              <w:rPr>
                <w:color w:val="000000"/>
                <w:sz w:val="20"/>
                <w:szCs w:val="20"/>
              </w:rPr>
              <w:t>Debt/Assets</w:t>
            </w:r>
          </w:p>
        </w:tc>
      </w:tr>
      <w:tr w:rsidR="00986A02" w:rsidRPr="0052798C" w:rsidTr="00986A02">
        <w:trPr>
          <w:trHeight w:val="293"/>
        </w:trPr>
        <w:tc>
          <w:tcPr>
            <w:tcW w:w="2268" w:type="dxa"/>
            <w:tcBorders>
              <w:top w:val="single" w:sz="4" w:space="0" w:color="auto"/>
              <w:left w:val="nil"/>
              <w:bottom w:val="single" w:sz="4" w:space="0" w:color="auto"/>
              <w:right w:val="nil"/>
            </w:tcBorders>
            <w:shd w:val="clear" w:color="auto" w:fill="auto"/>
            <w:noWrap/>
            <w:vAlign w:val="bottom"/>
            <w:hideMark/>
          </w:tcPr>
          <w:p w:rsidR="0052798C" w:rsidRPr="0052798C" w:rsidRDefault="0052798C">
            <w:pPr>
              <w:jc w:val="center"/>
              <w:rPr>
                <w:color w:val="000000"/>
                <w:sz w:val="20"/>
                <w:szCs w:val="20"/>
              </w:rPr>
            </w:pPr>
          </w:p>
        </w:tc>
        <w:tc>
          <w:tcPr>
            <w:tcW w:w="1276" w:type="dxa"/>
            <w:tcBorders>
              <w:top w:val="single" w:sz="4" w:space="0" w:color="auto"/>
              <w:left w:val="nil"/>
              <w:bottom w:val="single" w:sz="4" w:space="0" w:color="auto"/>
              <w:right w:val="nil"/>
            </w:tcBorders>
            <w:shd w:val="clear" w:color="auto" w:fill="auto"/>
            <w:noWrap/>
            <w:vAlign w:val="bottom"/>
            <w:hideMark/>
          </w:tcPr>
          <w:p w:rsidR="0052798C" w:rsidRDefault="0052798C" w:rsidP="0052798C">
            <w:pPr>
              <w:jc w:val="center"/>
              <w:rPr>
                <w:color w:val="000000"/>
                <w:sz w:val="20"/>
                <w:szCs w:val="20"/>
              </w:rPr>
            </w:pPr>
            <w:r w:rsidRPr="0052798C">
              <w:rPr>
                <w:color w:val="000000"/>
                <w:sz w:val="20"/>
                <w:szCs w:val="20"/>
              </w:rPr>
              <w:t>Aggregate</w:t>
            </w:r>
          </w:p>
          <w:p w:rsidR="0052798C" w:rsidRPr="0052798C" w:rsidRDefault="0052798C" w:rsidP="0052798C">
            <w:pPr>
              <w:jc w:val="center"/>
              <w:rPr>
                <w:color w:val="000000"/>
                <w:sz w:val="20"/>
                <w:szCs w:val="20"/>
              </w:rPr>
            </w:pPr>
            <w:r w:rsidRPr="0052798C">
              <w:rPr>
                <w:color w:val="000000"/>
                <w:sz w:val="20"/>
                <w:szCs w:val="20"/>
              </w:rPr>
              <w:t>(RE)</w:t>
            </w:r>
          </w:p>
        </w:tc>
        <w:tc>
          <w:tcPr>
            <w:tcW w:w="1276" w:type="dxa"/>
            <w:tcBorders>
              <w:top w:val="single" w:sz="4" w:space="0" w:color="auto"/>
              <w:left w:val="nil"/>
              <w:bottom w:val="single" w:sz="4" w:space="0" w:color="auto"/>
              <w:right w:val="nil"/>
            </w:tcBorders>
            <w:shd w:val="clear" w:color="auto" w:fill="auto"/>
            <w:noWrap/>
            <w:vAlign w:val="bottom"/>
            <w:hideMark/>
          </w:tcPr>
          <w:p w:rsidR="0052798C" w:rsidRPr="0052798C" w:rsidRDefault="0052798C" w:rsidP="0052798C">
            <w:pPr>
              <w:jc w:val="center"/>
              <w:rPr>
                <w:color w:val="000000"/>
                <w:sz w:val="20"/>
                <w:szCs w:val="20"/>
              </w:rPr>
            </w:pPr>
            <w:r w:rsidRPr="0052798C">
              <w:rPr>
                <w:color w:val="000000"/>
                <w:sz w:val="20"/>
                <w:szCs w:val="20"/>
              </w:rPr>
              <w:t>Aggregate (FE)</w:t>
            </w:r>
          </w:p>
        </w:tc>
        <w:tc>
          <w:tcPr>
            <w:tcW w:w="1276" w:type="dxa"/>
            <w:tcBorders>
              <w:top w:val="single" w:sz="4" w:space="0" w:color="auto"/>
              <w:left w:val="nil"/>
              <w:bottom w:val="single" w:sz="4" w:space="0" w:color="auto"/>
              <w:right w:val="nil"/>
            </w:tcBorders>
            <w:shd w:val="clear" w:color="auto" w:fill="auto"/>
            <w:noWrap/>
            <w:vAlign w:val="bottom"/>
            <w:hideMark/>
          </w:tcPr>
          <w:p w:rsidR="0052798C" w:rsidRPr="0052798C" w:rsidRDefault="0052798C" w:rsidP="0052798C">
            <w:pPr>
              <w:jc w:val="center"/>
              <w:rPr>
                <w:color w:val="000000"/>
                <w:sz w:val="20"/>
                <w:szCs w:val="20"/>
              </w:rPr>
            </w:pPr>
            <w:r w:rsidRPr="0052798C">
              <w:rPr>
                <w:color w:val="000000"/>
                <w:sz w:val="20"/>
                <w:szCs w:val="20"/>
              </w:rPr>
              <w:t>Real Estate (FE)</w:t>
            </w:r>
          </w:p>
        </w:tc>
        <w:tc>
          <w:tcPr>
            <w:tcW w:w="1275" w:type="dxa"/>
            <w:tcBorders>
              <w:top w:val="single" w:sz="4" w:space="0" w:color="auto"/>
              <w:left w:val="nil"/>
              <w:bottom w:val="single" w:sz="4" w:space="0" w:color="auto"/>
              <w:right w:val="nil"/>
            </w:tcBorders>
            <w:shd w:val="clear" w:color="auto" w:fill="auto"/>
            <w:noWrap/>
            <w:vAlign w:val="bottom"/>
            <w:hideMark/>
          </w:tcPr>
          <w:p w:rsidR="0052798C" w:rsidRDefault="0052798C" w:rsidP="0052798C">
            <w:pPr>
              <w:jc w:val="center"/>
              <w:rPr>
                <w:color w:val="000000"/>
                <w:sz w:val="20"/>
                <w:szCs w:val="20"/>
              </w:rPr>
            </w:pPr>
            <w:r w:rsidRPr="0052798C">
              <w:rPr>
                <w:color w:val="000000"/>
                <w:sz w:val="20"/>
                <w:szCs w:val="20"/>
              </w:rPr>
              <w:t>Construction</w:t>
            </w:r>
          </w:p>
          <w:p w:rsidR="0052798C" w:rsidRPr="0052798C" w:rsidRDefault="0052798C" w:rsidP="0052798C">
            <w:pPr>
              <w:jc w:val="center"/>
              <w:rPr>
                <w:color w:val="000000"/>
                <w:sz w:val="20"/>
                <w:szCs w:val="20"/>
              </w:rPr>
            </w:pPr>
            <w:r w:rsidRPr="0052798C">
              <w:rPr>
                <w:color w:val="000000"/>
                <w:sz w:val="20"/>
                <w:szCs w:val="20"/>
              </w:rPr>
              <w:t>(RE)</w:t>
            </w:r>
          </w:p>
        </w:tc>
        <w:tc>
          <w:tcPr>
            <w:tcW w:w="1418" w:type="dxa"/>
            <w:tcBorders>
              <w:top w:val="single" w:sz="4" w:space="0" w:color="auto"/>
              <w:left w:val="nil"/>
              <w:bottom w:val="single" w:sz="4" w:space="0" w:color="auto"/>
              <w:right w:val="nil"/>
            </w:tcBorders>
            <w:shd w:val="clear" w:color="auto" w:fill="auto"/>
            <w:noWrap/>
            <w:vAlign w:val="bottom"/>
            <w:hideMark/>
          </w:tcPr>
          <w:p w:rsidR="0052798C" w:rsidRDefault="0052798C" w:rsidP="0052798C">
            <w:pPr>
              <w:jc w:val="center"/>
              <w:rPr>
                <w:color w:val="000000"/>
                <w:sz w:val="20"/>
                <w:szCs w:val="20"/>
              </w:rPr>
            </w:pPr>
            <w:r w:rsidRPr="0052798C">
              <w:rPr>
                <w:color w:val="000000"/>
                <w:sz w:val="20"/>
                <w:szCs w:val="20"/>
              </w:rPr>
              <w:t>Info Tech</w:t>
            </w:r>
          </w:p>
          <w:p w:rsidR="0052798C" w:rsidRPr="0052798C" w:rsidRDefault="0052798C" w:rsidP="0052798C">
            <w:pPr>
              <w:jc w:val="center"/>
              <w:rPr>
                <w:color w:val="000000"/>
                <w:sz w:val="20"/>
                <w:szCs w:val="20"/>
              </w:rPr>
            </w:pPr>
            <w:r w:rsidRPr="0052798C">
              <w:rPr>
                <w:color w:val="000000"/>
                <w:sz w:val="20"/>
                <w:szCs w:val="20"/>
              </w:rPr>
              <w:t>(RE)</w:t>
            </w:r>
          </w:p>
        </w:tc>
        <w:tc>
          <w:tcPr>
            <w:tcW w:w="1579" w:type="dxa"/>
            <w:tcBorders>
              <w:top w:val="single" w:sz="4" w:space="0" w:color="auto"/>
              <w:left w:val="nil"/>
              <w:bottom w:val="single" w:sz="4" w:space="0" w:color="auto"/>
              <w:right w:val="nil"/>
            </w:tcBorders>
            <w:shd w:val="clear" w:color="auto" w:fill="auto"/>
            <w:noWrap/>
            <w:vAlign w:val="bottom"/>
            <w:hideMark/>
          </w:tcPr>
          <w:p w:rsidR="0052798C" w:rsidRDefault="0052798C" w:rsidP="0052798C">
            <w:pPr>
              <w:jc w:val="center"/>
              <w:rPr>
                <w:color w:val="000000"/>
                <w:sz w:val="20"/>
                <w:szCs w:val="20"/>
              </w:rPr>
            </w:pPr>
            <w:r w:rsidRPr="0052798C">
              <w:rPr>
                <w:color w:val="000000"/>
                <w:sz w:val="20"/>
                <w:szCs w:val="20"/>
              </w:rPr>
              <w:t>Manufacturing</w:t>
            </w:r>
          </w:p>
          <w:p w:rsidR="0052798C" w:rsidRPr="0052798C" w:rsidRDefault="0052798C" w:rsidP="0052798C">
            <w:pPr>
              <w:jc w:val="center"/>
              <w:rPr>
                <w:color w:val="000000"/>
                <w:sz w:val="20"/>
                <w:szCs w:val="20"/>
              </w:rPr>
            </w:pPr>
            <w:r w:rsidRPr="0052798C">
              <w:rPr>
                <w:color w:val="000000"/>
                <w:sz w:val="20"/>
                <w:szCs w:val="20"/>
              </w:rPr>
              <w:t>(RE)</w:t>
            </w:r>
          </w:p>
        </w:tc>
      </w:tr>
      <w:tr w:rsidR="00986A02" w:rsidRPr="0052798C" w:rsidTr="00986A02">
        <w:trPr>
          <w:trHeight w:val="587"/>
        </w:trPr>
        <w:tc>
          <w:tcPr>
            <w:tcW w:w="2268" w:type="dxa"/>
            <w:tcBorders>
              <w:top w:val="single" w:sz="4" w:space="0" w:color="auto"/>
              <w:left w:val="nil"/>
              <w:bottom w:val="nil"/>
              <w:right w:val="nil"/>
            </w:tcBorders>
            <w:shd w:val="clear" w:color="auto" w:fill="auto"/>
            <w:noWrap/>
            <w:vAlign w:val="bottom"/>
            <w:hideMark/>
          </w:tcPr>
          <w:p w:rsidR="0052798C" w:rsidRPr="0052798C" w:rsidRDefault="0052798C">
            <w:pPr>
              <w:rPr>
                <w:color w:val="000000"/>
                <w:sz w:val="20"/>
                <w:szCs w:val="20"/>
              </w:rPr>
            </w:pPr>
            <w:r w:rsidRPr="0052798C">
              <w:rPr>
                <w:color w:val="000000"/>
                <w:sz w:val="20"/>
                <w:szCs w:val="20"/>
              </w:rPr>
              <w:t>Profitability</w:t>
            </w:r>
          </w:p>
        </w:tc>
        <w:tc>
          <w:tcPr>
            <w:tcW w:w="1276" w:type="dxa"/>
            <w:tcBorders>
              <w:top w:val="single" w:sz="4" w:space="0" w:color="auto"/>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-.0819***</w:t>
            </w:r>
            <w:r w:rsidRPr="0052798C">
              <w:rPr>
                <w:color w:val="000000"/>
                <w:sz w:val="20"/>
                <w:szCs w:val="20"/>
              </w:rPr>
              <w:br/>
              <w:t>(.0069)</w:t>
            </w:r>
          </w:p>
        </w:tc>
        <w:tc>
          <w:tcPr>
            <w:tcW w:w="1276" w:type="dxa"/>
            <w:tcBorders>
              <w:top w:val="single" w:sz="4" w:space="0" w:color="auto"/>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-.0761***</w:t>
            </w:r>
            <w:r w:rsidRPr="0052798C">
              <w:rPr>
                <w:color w:val="000000"/>
                <w:sz w:val="20"/>
                <w:szCs w:val="20"/>
              </w:rPr>
              <w:br/>
              <w:t>(.0071)</w:t>
            </w:r>
          </w:p>
        </w:tc>
        <w:tc>
          <w:tcPr>
            <w:tcW w:w="1276" w:type="dxa"/>
            <w:tcBorders>
              <w:top w:val="single" w:sz="4" w:space="0" w:color="auto"/>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-.0946***</w:t>
            </w:r>
            <w:r w:rsidRPr="0052798C">
              <w:rPr>
                <w:color w:val="000000"/>
                <w:sz w:val="20"/>
                <w:szCs w:val="20"/>
              </w:rPr>
              <w:br/>
              <w:t>(.0300)</w:t>
            </w:r>
          </w:p>
        </w:tc>
        <w:tc>
          <w:tcPr>
            <w:tcW w:w="1275" w:type="dxa"/>
            <w:tcBorders>
              <w:top w:val="single" w:sz="4" w:space="0" w:color="auto"/>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-.1260</w:t>
            </w:r>
            <w:r w:rsidRPr="0052798C">
              <w:rPr>
                <w:color w:val="000000"/>
                <w:sz w:val="20"/>
                <w:szCs w:val="20"/>
              </w:rPr>
              <w:br/>
              <w:t>(.0895)</w:t>
            </w:r>
          </w:p>
        </w:tc>
        <w:tc>
          <w:tcPr>
            <w:tcW w:w="1418" w:type="dxa"/>
            <w:tcBorders>
              <w:top w:val="single" w:sz="4" w:space="0" w:color="auto"/>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.1989</w:t>
            </w:r>
            <w:r w:rsidRPr="0052798C">
              <w:rPr>
                <w:color w:val="000000"/>
                <w:sz w:val="20"/>
                <w:szCs w:val="20"/>
              </w:rPr>
              <w:br/>
              <w:t>(.3213)</w:t>
            </w:r>
          </w:p>
        </w:tc>
        <w:tc>
          <w:tcPr>
            <w:tcW w:w="1579" w:type="dxa"/>
            <w:tcBorders>
              <w:top w:val="single" w:sz="4" w:space="0" w:color="auto"/>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-.0369***</w:t>
            </w:r>
            <w:r w:rsidRPr="0052798C">
              <w:rPr>
                <w:color w:val="000000"/>
                <w:sz w:val="20"/>
                <w:szCs w:val="20"/>
              </w:rPr>
              <w:br/>
              <w:t>(.0095)</w:t>
            </w:r>
          </w:p>
        </w:tc>
      </w:tr>
      <w:tr w:rsidR="00986A02" w:rsidRPr="0052798C" w:rsidTr="00986A02">
        <w:trPr>
          <w:trHeight w:val="587"/>
        </w:trPr>
        <w:tc>
          <w:tcPr>
            <w:tcW w:w="2268" w:type="dxa"/>
            <w:tcBorders>
              <w:top w:val="nil"/>
              <w:left w:val="nil"/>
              <w:bottom w:val="nil"/>
              <w:right w:val="nil"/>
            </w:tcBorders>
            <w:shd w:val="clear" w:color="auto" w:fill="auto"/>
            <w:noWrap/>
            <w:vAlign w:val="bottom"/>
            <w:hideMark/>
          </w:tcPr>
          <w:p w:rsidR="0052798C" w:rsidRPr="0052798C" w:rsidRDefault="0052798C">
            <w:pPr>
              <w:rPr>
                <w:color w:val="000000"/>
                <w:sz w:val="20"/>
                <w:szCs w:val="20"/>
              </w:rPr>
            </w:pPr>
            <w:r w:rsidRPr="0052798C">
              <w:rPr>
                <w:color w:val="000000"/>
                <w:sz w:val="20"/>
                <w:szCs w:val="20"/>
              </w:rPr>
              <w:t>Central</w:t>
            </w:r>
          </w:p>
        </w:tc>
        <w:tc>
          <w:tcPr>
            <w:tcW w:w="1276"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-1.356</w:t>
            </w:r>
            <w:r w:rsidRPr="0052798C">
              <w:rPr>
                <w:color w:val="000000"/>
                <w:sz w:val="20"/>
                <w:szCs w:val="20"/>
              </w:rPr>
              <w:br/>
              <w:t xml:space="preserve">  ( 1.0008)</w:t>
            </w:r>
          </w:p>
        </w:tc>
        <w:tc>
          <w:tcPr>
            <w:tcW w:w="1276" w:type="dxa"/>
            <w:tcBorders>
              <w:top w:val="nil"/>
              <w:left w:val="nil"/>
              <w:bottom w:val="nil"/>
              <w:right w:val="nil"/>
            </w:tcBorders>
            <w:shd w:val="clear" w:color="auto" w:fill="auto"/>
            <w:noWrap/>
            <w:vAlign w:val="bottom"/>
            <w:hideMark/>
          </w:tcPr>
          <w:p w:rsidR="0052798C" w:rsidRPr="0052798C" w:rsidRDefault="0052798C" w:rsidP="0052798C">
            <w:pPr>
              <w:jc w:val="center"/>
              <w:rPr>
                <w:color w:val="000000"/>
                <w:sz w:val="20"/>
                <w:szCs w:val="20"/>
              </w:rPr>
            </w:pPr>
          </w:p>
        </w:tc>
        <w:tc>
          <w:tcPr>
            <w:tcW w:w="1276" w:type="dxa"/>
            <w:tcBorders>
              <w:top w:val="nil"/>
              <w:left w:val="nil"/>
              <w:bottom w:val="nil"/>
              <w:right w:val="nil"/>
            </w:tcBorders>
            <w:shd w:val="clear" w:color="auto" w:fill="auto"/>
            <w:noWrap/>
            <w:vAlign w:val="bottom"/>
            <w:hideMark/>
          </w:tcPr>
          <w:p w:rsidR="0052798C" w:rsidRPr="0052798C" w:rsidRDefault="0052798C" w:rsidP="0052798C">
            <w:pPr>
              <w:jc w:val="center"/>
              <w:rPr>
                <w:sz w:val="20"/>
                <w:szCs w:val="20"/>
              </w:rPr>
            </w:pPr>
          </w:p>
        </w:tc>
        <w:tc>
          <w:tcPr>
            <w:tcW w:w="1275" w:type="dxa"/>
            <w:tcBorders>
              <w:top w:val="nil"/>
              <w:left w:val="nil"/>
              <w:bottom w:val="nil"/>
              <w:right w:val="nil"/>
            </w:tcBorders>
            <w:shd w:val="clear" w:color="auto" w:fill="auto"/>
            <w:noWrap/>
            <w:vAlign w:val="bottom"/>
            <w:hideMark/>
          </w:tcPr>
          <w:p w:rsidR="0052798C" w:rsidRPr="0052798C" w:rsidRDefault="0052798C" w:rsidP="0052798C">
            <w:pPr>
              <w:jc w:val="center"/>
              <w:rPr>
                <w:sz w:val="20"/>
                <w:szCs w:val="20"/>
              </w:rPr>
            </w:pPr>
          </w:p>
        </w:tc>
        <w:tc>
          <w:tcPr>
            <w:tcW w:w="1418"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1.3003</w:t>
            </w:r>
            <w:r w:rsidRPr="0052798C">
              <w:rPr>
                <w:color w:val="000000"/>
                <w:sz w:val="20"/>
                <w:szCs w:val="20"/>
              </w:rPr>
              <w:br/>
              <w:t>(3.2010)</w:t>
            </w:r>
          </w:p>
        </w:tc>
        <w:tc>
          <w:tcPr>
            <w:tcW w:w="1579"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-3.6864***</w:t>
            </w:r>
            <w:r w:rsidRPr="0052798C">
              <w:rPr>
                <w:color w:val="000000"/>
                <w:sz w:val="20"/>
                <w:szCs w:val="20"/>
              </w:rPr>
              <w:br/>
              <w:t>(1.4264)</w:t>
            </w:r>
          </w:p>
        </w:tc>
      </w:tr>
      <w:tr w:rsidR="00986A02" w:rsidRPr="0052798C" w:rsidTr="00986A02">
        <w:trPr>
          <w:trHeight w:val="587"/>
        </w:trPr>
        <w:tc>
          <w:tcPr>
            <w:tcW w:w="2268" w:type="dxa"/>
            <w:tcBorders>
              <w:top w:val="nil"/>
              <w:left w:val="nil"/>
              <w:bottom w:val="nil"/>
              <w:right w:val="nil"/>
            </w:tcBorders>
            <w:shd w:val="clear" w:color="auto" w:fill="auto"/>
            <w:noWrap/>
            <w:vAlign w:val="bottom"/>
            <w:hideMark/>
          </w:tcPr>
          <w:p w:rsidR="0052798C" w:rsidRPr="0052798C" w:rsidRDefault="0052798C">
            <w:pPr>
              <w:rPr>
                <w:color w:val="000000"/>
                <w:sz w:val="20"/>
                <w:szCs w:val="20"/>
              </w:rPr>
            </w:pPr>
            <w:r w:rsidRPr="0052798C">
              <w:rPr>
                <w:color w:val="000000"/>
                <w:sz w:val="20"/>
                <w:szCs w:val="20"/>
              </w:rPr>
              <w:t>Size</w:t>
            </w:r>
          </w:p>
        </w:tc>
        <w:tc>
          <w:tcPr>
            <w:tcW w:w="1276"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3.90***</w:t>
            </w:r>
            <w:r w:rsidRPr="0052798C">
              <w:rPr>
                <w:color w:val="000000"/>
                <w:sz w:val="20"/>
                <w:szCs w:val="20"/>
              </w:rPr>
              <w:br/>
              <w:t>(.292)</w:t>
            </w:r>
          </w:p>
        </w:tc>
        <w:tc>
          <w:tcPr>
            <w:tcW w:w="1276"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4.5868***</w:t>
            </w:r>
            <w:r w:rsidRPr="0052798C">
              <w:rPr>
                <w:color w:val="000000"/>
                <w:sz w:val="20"/>
                <w:szCs w:val="20"/>
              </w:rPr>
              <w:br/>
              <w:t>(.4306)</w:t>
            </w:r>
          </w:p>
        </w:tc>
        <w:tc>
          <w:tcPr>
            <w:tcW w:w="1276"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7.7652***</w:t>
            </w:r>
            <w:r w:rsidRPr="0052798C">
              <w:rPr>
                <w:color w:val="000000"/>
                <w:sz w:val="20"/>
                <w:szCs w:val="20"/>
              </w:rPr>
              <w:br/>
              <w:t>(1.3132)</w:t>
            </w:r>
          </w:p>
        </w:tc>
        <w:tc>
          <w:tcPr>
            <w:tcW w:w="1275"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5.4898***</w:t>
            </w:r>
            <w:r w:rsidRPr="0052798C">
              <w:rPr>
                <w:color w:val="000000"/>
                <w:sz w:val="20"/>
                <w:szCs w:val="20"/>
              </w:rPr>
              <w:br/>
              <w:t>(.7811)</w:t>
            </w:r>
          </w:p>
        </w:tc>
        <w:tc>
          <w:tcPr>
            <w:tcW w:w="1418"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1.5835</w:t>
            </w:r>
            <w:r w:rsidRPr="0052798C">
              <w:rPr>
                <w:color w:val="000000"/>
                <w:sz w:val="20"/>
                <w:szCs w:val="20"/>
              </w:rPr>
              <w:br/>
              <w:t>(2.0861)</w:t>
            </w:r>
          </w:p>
        </w:tc>
        <w:tc>
          <w:tcPr>
            <w:tcW w:w="1579"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2.2216***</w:t>
            </w:r>
            <w:r w:rsidRPr="0052798C">
              <w:rPr>
                <w:color w:val="000000"/>
                <w:sz w:val="20"/>
                <w:szCs w:val="20"/>
              </w:rPr>
              <w:br/>
              <w:t>(.4816)</w:t>
            </w:r>
          </w:p>
        </w:tc>
      </w:tr>
      <w:tr w:rsidR="00986A02" w:rsidRPr="0052798C" w:rsidTr="00986A02">
        <w:trPr>
          <w:trHeight w:val="697"/>
        </w:trPr>
        <w:tc>
          <w:tcPr>
            <w:tcW w:w="2268" w:type="dxa"/>
            <w:tcBorders>
              <w:top w:val="nil"/>
              <w:left w:val="nil"/>
              <w:bottom w:val="nil"/>
              <w:right w:val="nil"/>
            </w:tcBorders>
            <w:shd w:val="clear" w:color="auto" w:fill="auto"/>
            <w:noWrap/>
            <w:vAlign w:val="bottom"/>
            <w:hideMark/>
          </w:tcPr>
          <w:p w:rsidR="0052798C" w:rsidRPr="0052798C" w:rsidRDefault="0052798C">
            <w:pPr>
              <w:rPr>
                <w:color w:val="000000"/>
                <w:sz w:val="20"/>
                <w:szCs w:val="20"/>
              </w:rPr>
            </w:pPr>
            <w:r w:rsidRPr="0052798C">
              <w:rPr>
                <w:color w:val="000000"/>
                <w:sz w:val="20"/>
                <w:szCs w:val="20"/>
              </w:rPr>
              <w:t>Capital expenditure</w:t>
            </w:r>
          </w:p>
        </w:tc>
        <w:tc>
          <w:tcPr>
            <w:tcW w:w="1276"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-78.745***</w:t>
            </w:r>
            <w:r w:rsidRPr="0052798C">
              <w:rPr>
                <w:color w:val="000000"/>
                <w:sz w:val="20"/>
                <w:szCs w:val="20"/>
              </w:rPr>
              <w:br/>
              <w:t>(4.796)</w:t>
            </w:r>
          </w:p>
        </w:tc>
        <w:tc>
          <w:tcPr>
            <w:tcW w:w="1276"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-70.8447***</w:t>
            </w:r>
            <w:r w:rsidRPr="0052798C">
              <w:rPr>
                <w:color w:val="000000"/>
                <w:sz w:val="20"/>
                <w:szCs w:val="20"/>
              </w:rPr>
              <w:br/>
              <w:t>(4.9151)</w:t>
            </w:r>
          </w:p>
        </w:tc>
        <w:tc>
          <w:tcPr>
            <w:tcW w:w="1276"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-196.5542***</w:t>
            </w:r>
            <w:r w:rsidRPr="0052798C">
              <w:rPr>
                <w:color w:val="000000"/>
                <w:sz w:val="20"/>
                <w:szCs w:val="20"/>
              </w:rPr>
              <w:br/>
              <w:t>(36.2053)</w:t>
            </w:r>
          </w:p>
        </w:tc>
        <w:tc>
          <w:tcPr>
            <w:tcW w:w="1275"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-108.8058***</w:t>
            </w:r>
            <w:r w:rsidRPr="0052798C">
              <w:rPr>
                <w:color w:val="000000"/>
                <w:sz w:val="20"/>
                <w:szCs w:val="20"/>
              </w:rPr>
              <w:br/>
              <w:t>(15.6333)</w:t>
            </w:r>
          </w:p>
        </w:tc>
        <w:tc>
          <w:tcPr>
            <w:tcW w:w="1418"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-542.2165***</w:t>
            </w:r>
            <w:r w:rsidRPr="0052798C">
              <w:rPr>
                <w:color w:val="000000"/>
                <w:sz w:val="20"/>
                <w:szCs w:val="20"/>
              </w:rPr>
              <w:br/>
              <w:t>(89.2918)</w:t>
            </w:r>
          </w:p>
        </w:tc>
        <w:tc>
          <w:tcPr>
            <w:tcW w:w="1579"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-69.4608***</w:t>
            </w:r>
            <w:r w:rsidRPr="0052798C">
              <w:rPr>
                <w:color w:val="000000"/>
                <w:sz w:val="20"/>
                <w:szCs w:val="20"/>
              </w:rPr>
              <w:br/>
              <w:t>(6.7607)</w:t>
            </w:r>
          </w:p>
        </w:tc>
      </w:tr>
      <w:tr w:rsidR="00986A02" w:rsidRPr="0052798C" w:rsidTr="00986A02">
        <w:trPr>
          <w:trHeight w:val="587"/>
        </w:trPr>
        <w:tc>
          <w:tcPr>
            <w:tcW w:w="2268" w:type="dxa"/>
            <w:tcBorders>
              <w:top w:val="nil"/>
              <w:left w:val="nil"/>
              <w:bottom w:val="nil"/>
              <w:right w:val="nil"/>
            </w:tcBorders>
            <w:shd w:val="clear" w:color="auto" w:fill="auto"/>
            <w:noWrap/>
            <w:vAlign w:val="bottom"/>
            <w:hideMark/>
          </w:tcPr>
          <w:p w:rsidR="0052798C" w:rsidRPr="0052798C" w:rsidRDefault="0052798C">
            <w:pPr>
              <w:rPr>
                <w:color w:val="000000"/>
                <w:sz w:val="20"/>
                <w:szCs w:val="20"/>
              </w:rPr>
            </w:pPr>
            <w:r w:rsidRPr="0052798C">
              <w:rPr>
                <w:color w:val="000000"/>
                <w:sz w:val="20"/>
                <w:szCs w:val="20"/>
              </w:rPr>
              <w:t>Increased investment</w:t>
            </w:r>
          </w:p>
        </w:tc>
        <w:tc>
          <w:tcPr>
            <w:tcW w:w="1276" w:type="dxa"/>
            <w:tcBorders>
              <w:top w:val="nil"/>
              <w:left w:val="nil"/>
              <w:bottom w:val="nil"/>
              <w:right w:val="nil"/>
            </w:tcBorders>
            <w:shd w:val="clear" w:color="auto" w:fill="auto"/>
            <w:noWrap/>
            <w:vAlign w:val="bottom"/>
            <w:hideMark/>
          </w:tcPr>
          <w:p w:rsidR="0052798C" w:rsidRPr="0052798C" w:rsidRDefault="0052798C" w:rsidP="0052798C">
            <w:pPr>
              <w:jc w:val="center"/>
              <w:rPr>
                <w:color w:val="000000"/>
                <w:sz w:val="20"/>
                <w:szCs w:val="20"/>
              </w:rPr>
            </w:pPr>
            <w:r w:rsidRPr="0052798C">
              <w:rPr>
                <w:color w:val="000000"/>
                <w:sz w:val="20"/>
                <w:szCs w:val="20"/>
              </w:rPr>
              <w:t>-3.</w:t>
            </w:r>
            <w:proofErr w:type="gramStart"/>
            <w:r w:rsidRPr="0052798C">
              <w:rPr>
                <w:color w:val="000000"/>
                <w:sz w:val="20"/>
                <w:szCs w:val="20"/>
              </w:rPr>
              <w:t>45  (</w:t>
            </w:r>
            <w:proofErr w:type="gramEnd"/>
            <w:r w:rsidRPr="0052798C">
              <w:rPr>
                <w:color w:val="000000"/>
                <w:sz w:val="20"/>
                <w:szCs w:val="20"/>
              </w:rPr>
              <w:t>.727)***</w:t>
            </w:r>
          </w:p>
        </w:tc>
        <w:tc>
          <w:tcPr>
            <w:tcW w:w="1276"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-2.2101***</w:t>
            </w:r>
            <w:r w:rsidRPr="0052798C">
              <w:rPr>
                <w:color w:val="000000"/>
                <w:sz w:val="20"/>
                <w:szCs w:val="20"/>
              </w:rPr>
              <w:br/>
              <w:t>(.7629)</w:t>
            </w:r>
          </w:p>
        </w:tc>
        <w:tc>
          <w:tcPr>
            <w:tcW w:w="1276"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-7.6738</w:t>
            </w:r>
            <w:r w:rsidRPr="0052798C">
              <w:rPr>
                <w:color w:val="000000"/>
                <w:sz w:val="20"/>
                <w:szCs w:val="20"/>
              </w:rPr>
              <w:br/>
              <w:t>(6.9065)</w:t>
            </w:r>
          </w:p>
        </w:tc>
        <w:tc>
          <w:tcPr>
            <w:tcW w:w="1275"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-3.0935</w:t>
            </w:r>
            <w:r w:rsidRPr="0052798C">
              <w:rPr>
                <w:color w:val="000000"/>
                <w:sz w:val="20"/>
                <w:szCs w:val="20"/>
              </w:rPr>
              <w:br/>
              <w:t>(4.1227)</w:t>
            </w:r>
          </w:p>
        </w:tc>
        <w:tc>
          <w:tcPr>
            <w:tcW w:w="1418"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-24.9440**</w:t>
            </w:r>
            <w:r w:rsidRPr="0052798C">
              <w:rPr>
                <w:color w:val="000000"/>
                <w:sz w:val="20"/>
                <w:szCs w:val="20"/>
              </w:rPr>
              <w:br/>
              <w:t>(9.9727)</w:t>
            </w:r>
          </w:p>
        </w:tc>
        <w:tc>
          <w:tcPr>
            <w:tcW w:w="1579"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-2.0988***</w:t>
            </w:r>
            <w:r w:rsidRPr="0052798C">
              <w:rPr>
                <w:color w:val="000000"/>
                <w:sz w:val="20"/>
                <w:szCs w:val="20"/>
              </w:rPr>
              <w:br/>
              <w:t>(.7991)</w:t>
            </w:r>
          </w:p>
        </w:tc>
      </w:tr>
      <w:tr w:rsidR="00986A02" w:rsidRPr="0052798C" w:rsidTr="00986A02">
        <w:trPr>
          <w:trHeight w:val="587"/>
        </w:trPr>
        <w:tc>
          <w:tcPr>
            <w:tcW w:w="2268" w:type="dxa"/>
            <w:tcBorders>
              <w:top w:val="nil"/>
              <w:left w:val="nil"/>
              <w:bottom w:val="nil"/>
              <w:right w:val="nil"/>
            </w:tcBorders>
            <w:shd w:val="clear" w:color="auto" w:fill="auto"/>
            <w:noWrap/>
            <w:vAlign w:val="bottom"/>
            <w:hideMark/>
          </w:tcPr>
          <w:p w:rsidR="0052798C" w:rsidRPr="0052798C" w:rsidRDefault="0052798C">
            <w:pPr>
              <w:rPr>
                <w:color w:val="000000"/>
                <w:sz w:val="20"/>
                <w:szCs w:val="20"/>
              </w:rPr>
            </w:pPr>
            <w:r w:rsidRPr="0052798C">
              <w:rPr>
                <w:color w:val="000000"/>
                <w:sz w:val="20"/>
                <w:szCs w:val="20"/>
              </w:rPr>
              <w:t>Market-to-book ratio</w:t>
            </w:r>
          </w:p>
        </w:tc>
        <w:tc>
          <w:tcPr>
            <w:tcW w:w="1276"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27.84***</w:t>
            </w:r>
            <w:r w:rsidRPr="0052798C">
              <w:rPr>
                <w:color w:val="000000"/>
                <w:sz w:val="20"/>
                <w:szCs w:val="20"/>
              </w:rPr>
              <w:br/>
              <w:t>(1.23)</w:t>
            </w:r>
          </w:p>
        </w:tc>
        <w:tc>
          <w:tcPr>
            <w:tcW w:w="1276"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24.4443***</w:t>
            </w:r>
            <w:r w:rsidRPr="0052798C">
              <w:rPr>
                <w:color w:val="000000"/>
                <w:sz w:val="20"/>
                <w:szCs w:val="20"/>
              </w:rPr>
              <w:br/>
              <w:t>(1.2358)</w:t>
            </w:r>
          </w:p>
        </w:tc>
        <w:tc>
          <w:tcPr>
            <w:tcW w:w="1276"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61.4702***</w:t>
            </w:r>
            <w:r w:rsidRPr="0052798C">
              <w:rPr>
                <w:color w:val="000000"/>
                <w:sz w:val="20"/>
                <w:szCs w:val="20"/>
              </w:rPr>
              <w:br/>
              <w:t>(8.6008)</w:t>
            </w:r>
          </w:p>
        </w:tc>
        <w:tc>
          <w:tcPr>
            <w:tcW w:w="1275"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13.6734***</w:t>
            </w:r>
            <w:r w:rsidRPr="0052798C">
              <w:rPr>
                <w:color w:val="000000"/>
                <w:sz w:val="20"/>
                <w:szCs w:val="20"/>
              </w:rPr>
              <w:br/>
              <w:t>(2.030)</w:t>
            </w:r>
          </w:p>
        </w:tc>
        <w:tc>
          <w:tcPr>
            <w:tcW w:w="1418"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257.3136***</w:t>
            </w:r>
            <w:r w:rsidRPr="0052798C">
              <w:rPr>
                <w:color w:val="000000"/>
                <w:sz w:val="20"/>
                <w:szCs w:val="20"/>
              </w:rPr>
              <w:br/>
              <w:t>(51.1543)</w:t>
            </w:r>
          </w:p>
        </w:tc>
        <w:tc>
          <w:tcPr>
            <w:tcW w:w="1579"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23.1458***</w:t>
            </w:r>
            <w:r w:rsidRPr="0052798C">
              <w:rPr>
                <w:color w:val="000000"/>
                <w:sz w:val="20"/>
                <w:szCs w:val="20"/>
              </w:rPr>
              <w:br/>
              <w:t>(1.6538)</w:t>
            </w:r>
          </w:p>
        </w:tc>
      </w:tr>
      <w:tr w:rsidR="00986A02" w:rsidRPr="0052798C" w:rsidTr="00986A02">
        <w:trPr>
          <w:trHeight w:val="587"/>
        </w:trPr>
        <w:tc>
          <w:tcPr>
            <w:tcW w:w="2268" w:type="dxa"/>
            <w:tcBorders>
              <w:top w:val="nil"/>
              <w:left w:val="nil"/>
              <w:bottom w:val="nil"/>
              <w:right w:val="nil"/>
            </w:tcBorders>
            <w:shd w:val="clear" w:color="auto" w:fill="auto"/>
            <w:noWrap/>
            <w:vAlign w:val="bottom"/>
            <w:hideMark/>
          </w:tcPr>
          <w:p w:rsidR="0052798C" w:rsidRPr="0052798C" w:rsidRDefault="0052798C">
            <w:pPr>
              <w:rPr>
                <w:color w:val="000000"/>
                <w:sz w:val="20"/>
                <w:szCs w:val="20"/>
              </w:rPr>
            </w:pPr>
            <w:r w:rsidRPr="0052798C">
              <w:rPr>
                <w:color w:val="000000"/>
                <w:sz w:val="20"/>
                <w:szCs w:val="20"/>
              </w:rPr>
              <w:t>Long-term debt</w:t>
            </w:r>
          </w:p>
        </w:tc>
        <w:tc>
          <w:tcPr>
            <w:tcW w:w="1276"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 xml:space="preserve">.00006  </w:t>
            </w:r>
            <w:r w:rsidRPr="0052798C">
              <w:rPr>
                <w:color w:val="000000"/>
                <w:sz w:val="20"/>
                <w:szCs w:val="20"/>
              </w:rPr>
              <w:br/>
              <w:t>(.00008)</w:t>
            </w:r>
          </w:p>
        </w:tc>
        <w:tc>
          <w:tcPr>
            <w:tcW w:w="1276"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.000125</w:t>
            </w:r>
            <w:r w:rsidRPr="0052798C">
              <w:rPr>
                <w:color w:val="000000"/>
                <w:sz w:val="20"/>
                <w:szCs w:val="20"/>
              </w:rPr>
              <w:br/>
              <w:t>(.00009)</w:t>
            </w:r>
          </w:p>
        </w:tc>
        <w:tc>
          <w:tcPr>
            <w:tcW w:w="1276"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-.00026</w:t>
            </w:r>
            <w:r w:rsidRPr="0052798C">
              <w:rPr>
                <w:color w:val="000000"/>
                <w:sz w:val="20"/>
                <w:szCs w:val="20"/>
              </w:rPr>
              <w:br/>
              <w:t>(.00032)</w:t>
            </w:r>
          </w:p>
        </w:tc>
        <w:tc>
          <w:tcPr>
            <w:tcW w:w="1275"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-.00016</w:t>
            </w:r>
            <w:r w:rsidRPr="0052798C">
              <w:rPr>
                <w:color w:val="000000"/>
                <w:sz w:val="20"/>
                <w:szCs w:val="20"/>
              </w:rPr>
              <w:br/>
              <w:t>(.00015)</w:t>
            </w:r>
          </w:p>
        </w:tc>
        <w:tc>
          <w:tcPr>
            <w:tcW w:w="1418"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.001245</w:t>
            </w:r>
            <w:r w:rsidRPr="0052798C">
              <w:rPr>
                <w:color w:val="000000"/>
                <w:sz w:val="20"/>
                <w:szCs w:val="20"/>
              </w:rPr>
              <w:br/>
              <w:t>(.0029)</w:t>
            </w:r>
          </w:p>
        </w:tc>
        <w:tc>
          <w:tcPr>
            <w:tcW w:w="1579"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.00098***</w:t>
            </w:r>
            <w:r w:rsidRPr="0052798C">
              <w:rPr>
                <w:color w:val="000000"/>
                <w:sz w:val="20"/>
                <w:szCs w:val="20"/>
              </w:rPr>
              <w:br/>
              <w:t>(.0004)</w:t>
            </w:r>
          </w:p>
        </w:tc>
      </w:tr>
      <w:tr w:rsidR="00986A02" w:rsidRPr="0052798C" w:rsidTr="00986A02">
        <w:trPr>
          <w:trHeight w:val="587"/>
        </w:trPr>
        <w:tc>
          <w:tcPr>
            <w:tcW w:w="2268" w:type="dxa"/>
            <w:tcBorders>
              <w:top w:val="nil"/>
              <w:left w:val="nil"/>
              <w:bottom w:val="nil"/>
              <w:right w:val="nil"/>
            </w:tcBorders>
            <w:shd w:val="clear" w:color="auto" w:fill="auto"/>
            <w:noWrap/>
            <w:vAlign w:val="bottom"/>
            <w:hideMark/>
          </w:tcPr>
          <w:p w:rsidR="0052798C" w:rsidRPr="0052798C" w:rsidRDefault="0052798C">
            <w:pPr>
              <w:rPr>
                <w:color w:val="000000"/>
                <w:sz w:val="20"/>
                <w:szCs w:val="20"/>
              </w:rPr>
            </w:pPr>
            <w:r w:rsidRPr="0052798C">
              <w:rPr>
                <w:color w:val="000000"/>
                <w:sz w:val="20"/>
                <w:szCs w:val="20"/>
              </w:rPr>
              <w:t>Short-term debt</w:t>
            </w:r>
          </w:p>
        </w:tc>
        <w:tc>
          <w:tcPr>
            <w:tcW w:w="1276"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.0007***</w:t>
            </w:r>
            <w:r w:rsidRPr="0052798C">
              <w:rPr>
                <w:color w:val="000000"/>
                <w:sz w:val="20"/>
                <w:szCs w:val="20"/>
              </w:rPr>
              <w:br/>
              <w:t>(.00016)</w:t>
            </w:r>
          </w:p>
        </w:tc>
        <w:tc>
          <w:tcPr>
            <w:tcW w:w="1276"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.000795***</w:t>
            </w:r>
            <w:r w:rsidRPr="0052798C">
              <w:rPr>
                <w:color w:val="000000"/>
                <w:sz w:val="20"/>
                <w:szCs w:val="20"/>
              </w:rPr>
              <w:br/>
              <w:t>(.00016)</w:t>
            </w:r>
          </w:p>
        </w:tc>
        <w:tc>
          <w:tcPr>
            <w:tcW w:w="1276"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-.00058</w:t>
            </w:r>
            <w:r w:rsidRPr="0052798C">
              <w:rPr>
                <w:color w:val="000000"/>
                <w:sz w:val="20"/>
                <w:szCs w:val="20"/>
              </w:rPr>
              <w:br/>
              <w:t>(.0011)</w:t>
            </w:r>
          </w:p>
        </w:tc>
        <w:tc>
          <w:tcPr>
            <w:tcW w:w="1275"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.00012</w:t>
            </w:r>
            <w:r w:rsidRPr="0052798C">
              <w:rPr>
                <w:color w:val="000000"/>
                <w:sz w:val="20"/>
                <w:szCs w:val="20"/>
              </w:rPr>
              <w:br/>
              <w:t>(.0003)</w:t>
            </w:r>
          </w:p>
        </w:tc>
        <w:tc>
          <w:tcPr>
            <w:tcW w:w="1418"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.00008</w:t>
            </w:r>
            <w:r w:rsidRPr="0052798C">
              <w:rPr>
                <w:color w:val="000000"/>
                <w:sz w:val="20"/>
                <w:szCs w:val="20"/>
              </w:rPr>
              <w:br/>
              <w:t>(.00075)</w:t>
            </w:r>
          </w:p>
        </w:tc>
        <w:tc>
          <w:tcPr>
            <w:tcW w:w="1579" w:type="dxa"/>
            <w:tcBorders>
              <w:top w:val="nil"/>
              <w:left w:val="nil"/>
              <w:bottom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.0032***</w:t>
            </w:r>
            <w:r w:rsidRPr="0052798C">
              <w:rPr>
                <w:color w:val="000000"/>
                <w:sz w:val="20"/>
                <w:szCs w:val="20"/>
              </w:rPr>
              <w:br/>
              <w:t>(.0004)</w:t>
            </w:r>
          </w:p>
        </w:tc>
      </w:tr>
      <w:tr w:rsidR="00986A02" w:rsidRPr="0052798C" w:rsidTr="00986A02">
        <w:trPr>
          <w:trHeight w:val="587"/>
        </w:trPr>
        <w:tc>
          <w:tcPr>
            <w:tcW w:w="2268" w:type="dxa"/>
            <w:tcBorders>
              <w:top w:val="nil"/>
              <w:left w:val="nil"/>
              <w:right w:val="nil"/>
            </w:tcBorders>
            <w:shd w:val="clear" w:color="auto" w:fill="auto"/>
            <w:noWrap/>
            <w:vAlign w:val="bottom"/>
            <w:hideMark/>
          </w:tcPr>
          <w:p w:rsidR="0052798C" w:rsidRPr="0052798C" w:rsidRDefault="0052798C">
            <w:pPr>
              <w:rPr>
                <w:color w:val="000000"/>
                <w:sz w:val="20"/>
                <w:szCs w:val="20"/>
              </w:rPr>
            </w:pPr>
            <w:r w:rsidRPr="0052798C">
              <w:rPr>
                <w:color w:val="000000"/>
                <w:sz w:val="20"/>
                <w:szCs w:val="20"/>
              </w:rPr>
              <w:t>Tax rate</w:t>
            </w:r>
          </w:p>
        </w:tc>
        <w:tc>
          <w:tcPr>
            <w:tcW w:w="1276" w:type="dxa"/>
            <w:tcBorders>
              <w:top w:val="nil"/>
              <w:left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.1489***</w:t>
            </w:r>
            <w:r w:rsidRPr="0052798C">
              <w:rPr>
                <w:color w:val="000000"/>
                <w:sz w:val="20"/>
                <w:szCs w:val="20"/>
              </w:rPr>
              <w:br/>
              <w:t>(.0394)</w:t>
            </w:r>
          </w:p>
        </w:tc>
        <w:tc>
          <w:tcPr>
            <w:tcW w:w="1276" w:type="dxa"/>
            <w:tcBorders>
              <w:top w:val="nil"/>
              <w:left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.14389***</w:t>
            </w:r>
            <w:r w:rsidRPr="0052798C">
              <w:rPr>
                <w:color w:val="000000"/>
                <w:sz w:val="20"/>
                <w:szCs w:val="20"/>
              </w:rPr>
              <w:br/>
              <w:t>(.0416)</w:t>
            </w:r>
          </w:p>
        </w:tc>
        <w:tc>
          <w:tcPr>
            <w:tcW w:w="1276" w:type="dxa"/>
            <w:tcBorders>
              <w:top w:val="nil"/>
              <w:left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-.3112**</w:t>
            </w:r>
            <w:r w:rsidRPr="0052798C">
              <w:rPr>
                <w:color w:val="000000"/>
                <w:sz w:val="20"/>
                <w:szCs w:val="20"/>
              </w:rPr>
              <w:br/>
              <w:t>(.1567)</w:t>
            </w:r>
          </w:p>
        </w:tc>
        <w:tc>
          <w:tcPr>
            <w:tcW w:w="1275" w:type="dxa"/>
            <w:tcBorders>
              <w:top w:val="nil"/>
              <w:left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-.0621</w:t>
            </w:r>
            <w:r w:rsidRPr="0052798C">
              <w:rPr>
                <w:color w:val="000000"/>
                <w:sz w:val="20"/>
                <w:szCs w:val="20"/>
              </w:rPr>
              <w:br/>
              <w:t>(.1220)</w:t>
            </w:r>
          </w:p>
        </w:tc>
        <w:tc>
          <w:tcPr>
            <w:tcW w:w="1418" w:type="dxa"/>
            <w:tcBorders>
              <w:top w:val="nil"/>
              <w:left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-1.6609***</w:t>
            </w:r>
            <w:r w:rsidRPr="0052798C">
              <w:rPr>
                <w:color w:val="000000"/>
                <w:sz w:val="20"/>
                <w:szCs w:val="20"/>
              </w:rPr>
              <w:br/>
              <w:t>( .4641)</w:t>
            </w:r>
          </w:p>
        </w:tc>
        <w:tc>
          <w:tcPr>
            <w:tcW w:w="1579" w:type="dxa"/>
            <w:tcBorders>
              <w:top w:val="nil"/>
              <w:left w:val="nil"/>
              <w:right w:val="nil"/>
            </w:tcBorders>
            <w:shd w:val="clear" w:color="auto" w:fill="auto"/>
            <w:vAlign w:val="bottom"/>
            <w:hideMark/>
          </w:tcPr>
          <w:p w:rsidR="0052798C" w:rsidRPr="0052798C" w:rsidRDefault="0052798C" w:rsidP="0052798C">
            <w:pPr>
              <w:jc w:val="center"/>
              <w:rPr>
                <w:color w:val="000000"/>
                <w:sz w:val="20"/>
                <w:szCs w:val="20"/>
              </w:rPr>
            </w:pPr>
            <w:r w:rsidRPr="0052798C">
              <w:rPr>
                <w:color w:val="000000"/>
                <w:sz w:val="20"/>
                <w:szCs w:val="20"/>
              </w:rPr>
              <w:t>.2027***</w:t>
            </w:r>
            <w:r w:rsidRPr="0052798C">
              <w:rPr>
                <w:color w:val="000000"/>
                <w:sz w:val="20"/>
                <w:szCs w:val="20"/>
              </w:rPr>
              <w:br/>
              <w:t>(.0587)</w:t>
            </w:r>
          </w:p>
        </w:tc>
      </w:tr>
      <w:tr w:rsidR="002E4597" w:rsidTr="00986A02">
        <w:trPr>
          <w:trHeight w:val="587"/>
        </w:trPr>
        <w:tc>
          <w:tcPr>
            <w:tcW w:w="2268" w:type="dxa"/>
            <w:tcBorders>
              <w:top w:val="nil"/>
              <w:left w:val="nil"/>
              <w:bottom w:val="single" w:sz="4" w:space="0" w:color="auto"/>
              <w:right w:val="nil"/>
            </w:tcBorders>
            <w:shd w:val="clear" w:color="auto" w:fill="auto"/>
            <w:noWrap/>
            <w:vAlign w:val="bottom"/>
            <w:hideMark/>
          </w:tcPr>
          <w:p w:rsidR="002E4597" w:rsidRPr="002E4597" w:rsidRDefault="002E4597">
            <w:pPr>
              <w:rPr>
                <w:color w:val="000000"/>
                <w:sz w:val="20"/>
                <w:szCs w:val="20"/>
              </w:rPr>
            </w:pPr>
            <w:r w:rsidRPr="002E4597">
              <w:rPr>
                <w:color w:val="000000"/>
                <w:sz w:val="20"/>
                <w:szCs w:val="20"/>
              </w:rPr>
              <w:t>Constant</w:t>
            </w:r>
          </w:p>
        </w:tc>
        <w:tc>
          <w:tcPr>
            <w:tcW w:w="1276" w:type="dxa"/>
            <w:tcBorders>
              <w:top w:val="nil"/>
              <w:left w:val="nil"/>
              <w:bottom w:val="single" w:sz="4" w:space="0" w:color="auto"/>
              <w:right w:val="nil"/>
            </w:tcBorders>
            <w:shd w:val="clear" w:color="auto" w:fill="auto"/>
            <w:vAlign w:val="bottom"/>
            <w:hideMark/>
          </w:tcPr>
          <w:p w:rsidR="002E4597" w:rsidRPr="002E4597" w:rsidRDefault="002E4597" w:rsidP="002E4597">
            <w:pPr>
              <w:jc w:val="center"/>
              <w:rPr>
                <w:color w:val="000000"/>
                <w:sz w:val="20"/>
                <w:szCs w:val="20"/>
              </w:rPr>
            </w:pPr>
            <w:r w:rsidRPr="002E4597">
              <w:rPr>
                <w:color w:val="000000"/>
                <w:sz w:val="20"/>
                <w:szCs w:val="20"/>
              </w:rPr>
              <w:t>21.7281***</w:t>
            </w:r>
            <w:r w:rsidRPr="002E4597">
              <w:rPr>
                <w:color w:val="000000"/>
                <w:sz w:val="20"/>
                <w:szCs w:val="20"/>
              </w:rPr>
              <w:br/>
              <w:t>(5.4961)</w:t>
            </w:r>
          </w:p>
        </w:tc>
        <w:tc>
          <w:tcPr>
            <w:tcW w:w="1276" w:type="dxa"/>
            <w:tcBorders>
              <w:top w:val="nil"/>
              <w:left w:val="nil"/>
              <w:bottom w:val="single" w:sz="4" w:space="0" w:color="auto"/>
              <w:right w:val="nil"/>
            </w:tcBorders>
            <w:shd w:val="clear" w:color="auto" w:fill="auto"/>
            <w:vAlign w:val="bottom"/>
            <w:hideMark/>
          </w:tcPr>
          <w:p w:rsidR="002E4597" w:rsidRPr="002E4597" w:rsidRDefault="002E4597" w:rsidP="002E4597">
            <w:pPr>
              <w:jc w:val="center"/>
              <w:rPr>
                <w:color w:val="000000"/>
                <w:sz w:val="20"/>
                <w:szCs w:val="20"/>
              </w:rPr>
            </w:pPr>
            <w:r w:rsidRPr="002E4597">
              <w:rPr>
                <w:color w:val="000000"/>
                <w:sz w:val="20"/>
                <w:szCs w:val="20"/>
              </w:rPr>
              <w:t>17.0791***</w:t>
            </w:r>
            <w:r w:rsidRPr="002E4597">
              <w:rPr>
                <w:color w:val="000000"/>
                <w:sz w:val="20"/>
                <w:szCs w:val="20"/>
              </w:rPr>
              <w:br/>
              <w:t>(3.6336)</w:t>
            </w:r>
          </w:p>
        </w:tc>
        <w:tc>
          <w:tcPr>
            <w:tcW w:w="1276" w:type="dxa"/>
            <w:tcBorders>
              <w:top w:val="nil"/>
              <w:left w:val="nil"/>
              <w:bottom w:val="single" w:sz="4" w:space="0" w:color="auto"/>
              <w:right w:val="nil"/>
            </w:tcBorders>
            <w:shd w:val="clear" w:color="auto" w:fill="auto"/>
            <w:vAlign w:val="bottom"/>
            <w:hideMark/>
          </w:tcPr>
          <w:p w:rsidR="002E4597" w:rsidRPr="002E4597" w:rsidRDefault="002E4597" w:rsidP="002E4597">
            <w:pPr>
              <w:jc w:val="center"/>
              <w:rPr>
                <w:color w:val="000000"/>
                <w:sz w:val="20"/>
                <w:szCs w:val="20"/>
              </w:rPr>
            </w:pPr>
            <w:r w:rsidRPr="002E4597">
              <w:rPr>
                <w:color w:val="000000"/>
                <w:sz w:val="20"/>
                <w:szCs w:val="20"/>
              </w:rPr>
              <w:t>15.5038</w:t>
            </w:r>
            <w:r w:rsidRPr="002E4597">
              <w:rPr>
                <w:color w:val="000000"/>
                <w:sz w:val="20"/>
                <w:szCs w:val="20"/>
              </w:rPr>
              <w:br/>
              <w:t>(11.2434)</w:t>
            </w:r>
          </w:p>
        </w:tc>
        <w:tc>
          <w:tcPr>
            <w:tcW w:w="1275" w:type="dxa"/>
            <w:tcBorders>
              <w:top w:val="nil"/>
              <w:left w:val="nil"/>
              <w:bottom w:val="single" w:sz="4" w:space="0" w:color="auto"/>
              <w:right w:val="nil"/>
            </w:tcBorders>
            <w:shd w:val="clear" w:color="auto" w:fill="auto"/>
            <w:vAlign w:val="bottom"/>
            <w:hideMark/>
          </w:tcPr>
          <w:p w:rsidR="002E4597" w:rsidRPr="002E4597" w:rsidRDefault="002E4597" w:rsidP="002E4597">
            <w:pPr>
              <w:jc w:val="center"/>
              <w:rPr>
                <w:color w:val="000000"/>
                <w:sz w:val="20"/>
                <w:szCs w:val="20"/>
              </w:rPr>
            </w:pPr>
            <w:r w:rsidRPr="002E4597">
              <w:rPr>
                <w:color w:val="000000"/>
                <w:sz w:val="20"/>
                <w:szCs w:val="20"/>
              </w:rPr>
              <w:t>32.9124***</w:t>
            </w:r>
            <w:r w:rsidRPr="002E4597">
              <w:rPr>
                <w:color w:val="000000"/>
                <w:sz w:val="20"/>
                <w:szCs w:val="20"/>
              </w:rPr>
              <w:br/>
              <w:t>(6.5136)</w:t>
            </w:r>
          </w:p>
        </w:tc>
        <w:tc>
          <w:tcPr>
            <w:tcW w:w="1418" w:type="dxa"/>
            <w:tcBorders>
              <w:top w:val="nil"/>
              <w:left w:val="nil"/>
              <w:bottom w:val="single" w:sz="4" w:space="0" w:color="auto"/>
              <w:right w:val="nil"/>
            </w:tcBorders>
            <w:shd w:val="clear" w:color="auto" w:fill="auto"/>
            <w:vAlign w:val="bottom"/>
            <w:hideMark/>
          </w:tcPr>
          <w:p w:rsidR="002E4597" w:rsidRPr="002E4597" w:rsidRDefault="002E4597" w:rsidP="002E4597">
            <w:pPr>
              <w:jc w:val="center"/>
              <w:rPr>
                <w:color w:val="000000"/>
                <w:sz w:val="20"/>
                <w:szCs w:val="20"/>
              </w:rPr>
            </w:pPr>
            <w:r w:rsidRPr="002E4597">
              <w:rPr>
                <w:color w:val="000000"/>
                <w:sz w:val="20"/>
                <w:szCs w:val="20"/>
              </w:rPr>
              <w:t>62.5417***</w:t>
            </w:r>
            <w:r w:rsidRPr="002E4597">
              <w:rPr>
                <w:color w:val="000000"/>
                <w:sz w:val="20"/>
                <w:szCs w:val="20"/>
              </w:rPr>
              <w:br/>
              <w:t>(15.5585)</w:t>
            </w:r>
          </w:p>
        </w:tc>
        <w:tc>
          <w:tcPr>
            <w:tcW w:w="1579" w:type="dxa"/>
            <w:tcBorders>
              <w:top w:val="nil"/>
              <w:left w:val="nil"/>
              <w:bottom w:val="single" w:sz="4" w:space="0" w:color="auto"/>
              <w:right w:val="nil"/>
            </w:tcBorders>
            <w:shd w:val="clear" w:color="auto" w:fill="auto"/>
            <w:vAlign w:val="bottom"/>
            <w:hideMark/>
          </w:tcPr>
          <w:p w:rsidR="002E4597" w:rsidRPr="002E4597" w:rsidRDefault="002E4597" w:rsidP="002E4597">
            <w:pPr>
              <w:jc w:val="center"/>
              <w:rPr>
                <w:color w:val="000000"/>
                <w:sz w:val="20"/>
                <w:szCs w:val="20"/>
              </w:rPr>
            </w:pPr>
            <w:r w:rsidRPr="002E4597">
              <w:rPr>
                <w:color w:val="000000"/>
                <w:sz w:val="20"/>
                <w:szCs w:val="20"/>
              </w:rPr>
              <w:t>31.1268***</w:t>
            </w:r>
            <w:r w:rsidRPr="002E4597">
              <w:rPr>
                <w:color w:val="000000"/>
                <w:sz w:val="20"/>
                <w:szCs w:val="20"/>
              </w:rPr>
              <w:br/>
              <w:t>(3.7683)</w:t>
            </w:r>
          </w:p>
        </w:tc>
      </w:tr>
      <w:tr w:rsidR="002E4597" w:rsidTr="00986A02">
        <w:trPr>
          <w:trHeight w:val="502"/>
        </w:trPr>
        <w:tc>
          <w:tcPr>
            <w:tcW w:w="2268" w:type="dxa"/>
            <w:tcBorders>
              <w:top w:val="single" w:sz="4" w:space="0" w:color="auto"/>
              <w:left w:val="nil"/>
              <w:bottom w:val="nil"/>
              <w:right w:val="nil"/>
            </w:tcBorders>
            <w:shd w:val="clear" w:color="auto" w:fill="auto"/>
            <w:noWrap/>
            <w:vAlign w:val="bottom"/>
            <w:hideMark/>
          </w:tcPr>
          <w:p w:rsidR="002E4597" w:rsidRPr="002E4597" w:rsidRDefault="002E4597">
            <w:pPr>
              <w:rPr>
                <w:color w:val="000000"/>
                <w:sz w:val="20"/>
                <w:szCs w:val="20"/>
              </w:rPr>
            </w:pPr>
            <w:r w:rsidRPr="002E4597">
              <w:rPr>
                <w:color w:val="000000"/>
                <w:sz w:val="20"/>
                <w:szCs w:val="20"/>
              </w:rPr>
              <w:t>Observations</w:t>
            </w:r>
          </w:p>
        </w:tc>
        <w:tc>
          <w:tcPr>
            <w:tcW w:w="1276" w:type="dxa"/>
            <w:tcBorders>
              <w:top w:val="single" w:sz="4" w:space="0" w:color="auto"/>
              <w:left w:val="nil"/>
              <w:bottom w:val="nil"/>
              <w:right w:val="nil"/>
            </w:tcBorders>
            <w:shd w:val="clear" w:color="auto" w:fill="auto"/>
            <w:vAlign w:val="bottom"/>
            <w:hideMark/>
          </w:tcPr>
          <w:p w:rsidR="002E4597" w:rsidRPr="002E4597" w:rsidRDefault="002E4597" w:rsidP="002E4597">
            <w:pPr>
              <w:jc w:val="center"/>
              <w:rPr>
                <w:color w:val="000000"/>
                <w:sz w:val="20"/>
                <w:szCs w:val="20"/>
              </w:rPr>
            </w:pPr>
            <w:r w:rsidRPr="002E4597">
              <w:rPr>
                <w:color w:val="000000"/>
                <w:sz w:val="20"/>
                <w:szCs w:val="20"/>
              </w:rPr>
              <w:t>4,105</w:t>
            </w:r>
          </w:p>
        </w:tc>
        <w:tc>
          <w:tcPr>
            <w:tcW w:w="1276" w:type="dxa"/>
            <w:tcBorders>
              <w:top w:val="single" w:sz="4" w:space="0" w:color="auto"/>
              <w:left w:val="nil"/>
              <w:bottom w:val="nil"/>
              <w:right w:val="nil"/>
            </w:tcBorders>
            <w:shd w:val="clear" w:color="auto" w:fill="auto"/>
            <w:vAlign w:val="bottom"/>
            <w:hideMark/>
          </w:tcPr>
          <w:p w:rsidR="002E4597" w:rsidRPr="002E4597" w:rsidRDefault="002E4597" w:rsidP="002E4597">
            <w:pPr>
              <w:jc w:val="center"/>
              <w:rPr>
                <w:color w:val="000000"/>
                <w:sz w:val="20"/>
                <w:szCs w:val="20"/>
              </w:rPr>
            </w:pPr>
            <w:r w:rsidRPr="002E4597">
              <w:rPr>
                <w:color w:val="000000"/>
                <w:sz w:val="20"/>
                <w:szCs w:val="20"/>
              </w:rPr>
              <w:t>4,105</w:t>
            </w:r>
          </w:p>
        </w:tc>
        <w:tc>
          <w:tcPr>
            <w:tcW w:w="1276" w:type="dxa"/>
            <w:tcBorders>
              <w:top w:val="single" w:sz="4" w:space="0" w:color="auto"/>
              <w:left w:val="nil"/>
              <w:bottom w:val="nil"/>
              <w:right w:val="nil"/>
            </w:tcBorders>
            <w:shd w:val="clear" w:color="auto" w:fill="auto"/>
            <w:vAlign w:val="bottom"/>
            <w:hideMark/>
          </w:tcPr>
          <w:p w:rsidR="002E4597" w:rsidRPr="002E4597" w:rsidRDefault="002E4597" w:rsidP="002E4597">
            <w:pPr>
              <w:jc w:val="center"/>
              <w:rPr>
                <w:color w:val="000000"/>
                <w:sz w:val="20"/>
                <w:szCs w:val="20"/>
              </w:rPr>
            </w:pPr>
            <w:r w:rsidRPr="002E4597">
              <w:rPr>
                <w:color w:val="000000"/>
                <w:sz w:val="20"/>
                <w:szCs w:val="20"/>
              </w:rPr>
              <w:t>335</w:t>
            </w:r>
          </w:p>
        </w:tc>
        <w:tc>
          <w:tcPr>
            <w:tcW w:w="1275" w:type="dxa"/>
            <w:tcBorders>
              <w:top w:val="single" w:sz="4" w:space="0" w:color="auto"/>
              <w:left w:val="nil"/>
              <w:bottom w:val="nil"/>
              <w:right w:val="nil"/>
            </w:tcBorders>
            <w:shd w:val="clear" w:color="auto" w:fill="auto"/>
            <w:vAlign w:val="bottom"/>
            <w:hideMark/>
          </w:tcPr>
          <w:p w:rsidR="002E4597" w:rsidRPr="002E4597" w:rsidRDefault="002E4597" w:rsidP="002E4597">
            <w:pPr>
              <w:jc w:val="center"/>
              <w:rPr>
                <w:color w:val="000000"/>
                <w:sz w:val="20"/>
                <w:szCs w:val="20"/>
              </w:rPr>
            </w:pPr>
            <w:r w:rsidRPr="002E4597">
              <w:rPr>
                <w:color w:val="000000"/>
                <w:sz w:val="20"/>
                <w:szCs w:val="20"/>
              </w:rPr>
              <w:t>225</w:t>
            </w:r>
          </w:p>
        </w:tc>
        <w:tc>
          <w:tcPr>
            <w:tcW w:w="1418" w:type="dxa"/>
            <w:tcBorders>
              <w:top w:val="single" w:sz="4" w:space="0" w:color="auto"/>
              <w:left w:val="nil"/>
              <w:bottom w:val="nil"/>
              <w:right w:val="nil"/>
            </w:tcBorders>
            <w:shd w:val="clear" w:color="auto" w:fill="auto"/>
            <w:vAlign w:val="bottom"/>
            <w:hideMark/>
          </w:tcPr>
          <w:p w:rsidR="002E4597" w:rsidRPr="002E4597" w:rsidRDefault="002E4597" w:rsidP="002E4597">
            <w:pPr>
              <w:jc w:val="center"/>
              <w:rPr>
                <w:color w:val="000000"/>
                <w:sz w:val="20"/>
                <w:szCs w:val="20"/>
              </w:rPr>
            </w:pPr>
            <w:r w:rsidRPr="002E4597">
              <w:rPr>
                <w:color w:val="000000"/>
                <w:sz w:val="20"/>
                <w:szCs w:val="20"/>
              </w:rPr>
              <w:t>47</w:t>
            </w:r>
          </w:p>
        </w:tc>
        <w:tc>
          <w:tcPr>
            <w:tcW w:w="1579" w:type="dxa"/>
            <w:tcBorders>
              <w:top w:val="single" w:sz="4" w:space="0" w:color="auto"/>
              <w:left w:val="nil"/>
              <w:bottom w:val="nil"/>
              <w:right w:val="nil"/>
            </w:tcBorders>
            <w:shd w:val="clear" w:color="auto" w:fill="auto"/>
            <w:vAlign w:val="bottom"/>
            <w:hideMark/>
          </w:tcPr>
          <w:p w:rsidR="002E4597" w:rsidRPr="002E4597" w:rsidRDefault="002E4597" w:rsidP="002E4597">
            <w:pPr>
              <w:jc w:val="center"/>
              <w:rPr>
                <w:color w:val="000000"/>
                <w:sz w:val="20"/>
                <w:szCs w:val="20"/>
              </w:rPr>
            </w:pPr>
            <w:r w:rsidRPr="002E4597">
              <w:rPr>
                <w:color w:val="000000"/>
                <w:sz w:val="20"/>
                <w:szCs w:val="20"/>
              </w:rPr>
              <w:t>1,781</w:t>
            </w:r>
          </w:p>
        </w:tc>
      </w:tr>
      <w:tr w:rsidR="002E4597" w:rsidTr="00986A02">
        <w:trPr>
          <w:trHeight w:val="406"/>
        </w:trPr>
        <w:tc>
          <w:tcPr>
            <w:tcW w:w="2268" w:type="dxa"/>
            <w:tcBorders>
              <w:top w:val="nil"/>
              <w:left w:val="nil"/>
              <w:bottom w:val="single" w:sz="4" w:space="0" w:color="auto"/>
              <w:right w:val="nil"/>
            </w:tcBorders>
            <w:shd w:val="clear" w:color="auto" w:fill="auto"/>
            <w:noWrap/>
            <w:vAlign w:val="bottom"/>
            <w:hideMark/>
          </w:tcPr>
          <w:p w:rsidR="002E4597" w:rsidRPr="002E4597" w:rsidRDefault="002E4597">
            <w:pPr>
              <w:rPr>
                <w:color w:val="000000"/>
                <w:sz w:val="20"/>
                <w:szCs w:val="20"/>
              </w:rPr>
            </w:pPr>
            <w:r w:rsidRPr="002E4597">
              <w:rPr>
                <w:color w:val="000000"/>
                <w:sz w:val="20"/>
                <w:szCs w:val="20"/>
              </w:rPr>
              <w:t>R-squared</w:t>
            </w:r>
          </w:p>
        </w:tc>
        <w:tc>
          <w:tcPr>
            <w:tcW w:w="1276" w:type="dxa"/>
            <w:tcBorders>
              <w:top w:val="nil"/>
              <w:left w:val="nil"/>
              <w:bottom w:val="single" w:sz="4" w:space="0" w:color="auto"/>
              <w:right w:val="nil"/>
            </w:tcBorders>
            <w:shd w:val="clear" w:color="auto" w:fill="auto"/>
            <w:vAlign w:val="bottom"/>
            <w:hideMark/>
          </w:tcPr>
          <w:p w:rsidR="002E4597" w:rsidRPr="002E4597" w:rsidRDefault="002E4597" w:rsidP="002E4597">
            <w:pPr>
              <w:jc w:val="center"/>
              <w:rPr>
                <w:color w:val="000000"/>
                <w:sz w:val="20"/>
                <w:szCs w:val="20"/>
              </w:rPr>
            </w:pPr>
            <w:r w:rsidRPr="002E4597">
              <w:rPr>
                <w:color w:val="000000"/>
                <w:sz w:val="20"/>
                <w:szCs w:val="20"/>
              </w:rPr>
              <w:t>0.388</w:t>
            </w:r>
          </w:p>
        </w:tc>
        <w:tc>
          <w:tcPr>
            <w:tcW w:w="1276" w:type="dxa"/>
            <w:tcBorders>
              <w:top w:val="nil"/>
              <w:left w:val="nil"/>
              <w:bottom w:val="single" w:sz="4" w:space="0" w:color="auto"/>
              <w:right w:val="nil"/>
            </w:tcBorders>
            <w:shd w:val="clear" w:color="auto" w:fill="auto"/>
            <w:vAlign w:val="bottom"/>
            <w:hideMark/>
          </w:tcPr>
          <w:p w:rsidR="002E4597" w:rsidRPr="002E4597" w:rsidRDefault="002E4597" w:rsidP="002E4597">
            <w:pPr>
              <w:jc w:val="center"/>
              <w:rPr>
                <w:color w:val="000000"/>
                <w:sz w:val="20"/>
                <w:szCs w:val="20"/>
              </w:rPr>
            </w:pPr>
            <w:r w:rsidRPr="002E4597">
              <w:rPr>
                <w:color w:val="000000"/>
                <w:sz w:val="20"/>
                <w:szCs w:val="20"/>
              </w:rPr>
              <w:t>0.239</w:t>
            </w:r>
          </w:p>
        </w:tc>
        <w:tc>
          <w:tcPr>
            <w:tcW w:w="1276" w:type="dxa"/>
            <w:tcBorders>
              <w:top w:val="nil"/>
              <w:left w:val="nil"/>
              <w:bottom w:val="single" w:sz="4" w:space="0" w:color="auto"/>
              <w:right w:val="nil"/>
            </w:tcBorders>
            <w:shd w:val="clear" w:color="auto" w:fill="auto"/>
            <w:vAlign w:val="bottom"/>
            <w:hideMark/>
          </w:tcPr>
          <w:p w:rsidR="002E4597" w:rsidRPr="002E4597" w:rsidRDefault="002E4597" w:rsidP="002E4597">
            <w:pPr>
              <w:jc w:val="center"/>
              <w:rPr>
                <w:color w:val="000000"/>
                <w:sz w:val="20"/>
                <w:szCs w:val="20"/>
              </w:rPr>
            </w:pPr>
            <w:r w:rsidRPr="002E4597">
              <w:rPr>
                <w:color w:val="000000"/>
                <w:sz w:val="20"/>
                <w:szCs w:val="20"/>
              </w:rPr>
              <w:t>0.272</w:t>
            </w:r>
          </w:p>
        </w:tc>
        <w:tc>
          <w:tcPr>
            <w:tcW w:w="1275" w:type="dxa"/>
            <w:tcBorders>
              <w:top w:val="nil"/>
              <w:left w:val="nil"/>
              <w:bottom w:val="single" w:sz="4" w:space="0" w:color="auto"/>
              <w:right w:val="nil"/>
            </w:tcBorders>
            <w:shd w:val="clear" w:color="auto" w:fill="auto"/>
            <w:vAlign w:val="bottom"/>
            <w:hideMark/>
          </w:tcPr>
          <w:p w:rsidR="002E4597" w:rsidRPr="002E4597" w:rsidRDefault="002E4597" w:rsidP="002E4597">
            <w:pPr>
              <w:jc w:val="center"/>
              <w:rPr>
                <w:color w:val="000000"/>
                <w:sz w:val="20"/>
                <w:szCs w:val="20"/>
              </w:rPr>
            </w:pPr>
            <w:r w:rsidRPr="002E4597">
              <w:rPr>
                <w:color w:val="000000"/>
                <w:sz w:val="20"/>
                <w:szCs w:val="20"/>
              </w:rPr>
              <w:t>0.509</w:t>
            </w:r>
          </w:p>
        </w:tc>
        <w:tc>
          <w:tcPr>
            <w:tcW w:w="1418" w:type="dxa"/>
            <w:tcBorders>
              <w:top w:val="nil"/>
              <w:left w:val="nil"/>
              <w:bottom w:val="single" w:sz="4" w:space="0" w:color="auto"/>
              <w:right w:val="nil"/>
            </w:tcBorders>
            <w:shd w:val="clear" w:color="auto" w:fill="auto"/>
            <w:vAlign w:val="bottom"/>
            <w:hideMark/>
          </w:tcPr>
          <w:p w:rsidR="002E4597" w:rsidRPr="002E4597" w:rsidRDefault="002E4597" w:rsidP="002E4597">
            <w:pPr>
              <w:jc w:val="center"/>
              <w:rPr>
                <w:color w:val="000000"/>
                <w:sz w:val="20"/>
                <w:szCs w:val="20"/>
              </w:rPr>
            </w:pPr>
            <w:r w:rsidRPr="002E4597">
              <w:rPr>
                <w:color w:val="000000"/>
                <w:sz w:val="20"/>
                <w:szCs w:val="20"/>
              </w:rPr>
              <w:t>0.888</w:t>
            </w:r>
          </w:p>
        </w:tc>
        <w:tc>
          <w:tcPr>
            <w:tcW w:w="1579" w:type="dxa"/>
            <w:tcBorders>
              <w:top w:val="nil"/>
              <w:left w:val="nil"/>
              <w:bottom w:val="single" w:sz="4" w:space="0" w:color="auto"/>
              <w:right w:val="nil"/>
            </w:tcBorders>
            <w:shd w:val="clear" w:color="auto" w:fill="auto"/>
            <w:vAlign w:val="bottom"/>
            <w:hideMark/>
          </w:tcPr>
          <w:p w:rsidR="002E4597" w:rsidRPr="002E4597" w:rsidRDefault="002E4597" w:rsidP="002E4597">
            <w:pPr>
              <w:jc w:val="center"/>
              <w:rPr>
                <w:color w:val="000000"/>
                <w:sz w:val="20"/>
                <w:szCs w:val="20"/>
              </w:rPr>
            </w:pPr>
            <w:r w:rsidRPr="002E4597">
              <w:rPr>
                <w:color w:val="000000"/>
                <w:sz w:val="20"/>
                <w:szCs w:val="20"/>
              </w:rPr>
              <w:t>0.264</w:t>
            </w:r>
          </w:p>
        </w:tc>
      </w:tr>
    </w:tbl>
    <w:p w:rsidR="00082FF7" w:rsidRPr="004D634E" w:rsidRDefault="004D634E">
      <w:pPr>
        <w:rPr>
          <w:sz w:val="20"/>
          <w:szCs w:val="20"/>
        </w:rPr>
      </w:pPr>
      <w:r w:rsidRPr="004D634E">
        <w:rPr>
          <w:sz w:val="20"/>
          <w:szCs w:val="20"/>
        </w:rPr>
        <w:t>Notes: The dummy variable for central government ownership is dropped in some regressions due to collinearity problem.</w:t>
      </w:r>
    </w:p>
    <w:p w:rsidR="004D634E" w:rsidRDefault="004D634E" w:rsidP="004D634E">
      <w:pPr>
        <w:spacing w:line="276" w:lineRule="auto"/>
        <w:jc w:val="both"/>
        <w:rPr>
          <w:sz w:val="20"/>
          <w:szCs w:val="20"/>
        </w:rPr>
      </w:pPr>
      <w:r>
        <w:rPr>
          <w:sz w:val="20"/>
          <w:szCs w:val="20"/>
        </w:rPr>
        <w:t>*** denotes significance level at 1%</w:t>
      </w:r>
    </w:p>
    <w:p w:rsidR="004D634E" w:rsidRDefault="004D634E" w:rsidP="004D634E">
      <w:pPr>
        <w:spacing w:line="276" w:lineRule="auto"/>
        <w:jc w:val="both"/>
        <w:rPr>
          <w:sz w:val="20"/>
          <w:szCs w:val="20"/>
        </w:rPr>
      </w:pPr>
      <w:r>
        <w:rPr>
          <w:sz w:val="20"/>
          <w:szCs w:val="20"/>
        </w:rPr>
        <w:t>** denotes significance level at 5%</w:t>
      </w:r>
    </w:p>
    <w:p w:rsidR="004D634E" w:rsidRDefault="004D634E" w:rsidP="004D634E">
      <w:pPr>
        <w:spacing w:line="276" w:lineRule="auto"/>
        <w:jc w:val="both"/>
        <w:rPr>
          <w:sz w:val="20"/>
          <w:szCs w:val="20"/>
        </w:rPr>
      </w:pPr>
      <w:r>
        <w:rPr>
          <w:sz w:val="20"/>
          <w:szCs w:val="20"/>
        </w:rPr>
        <w:t>* denotes significance level at 10%</w:t>
      </w:r>
    </w:p>
    <w:p w:rsidR="00082FF7" w:rsidRDefault="00082FF7"/>
    <w:p w:rsidR="00082FF7" w:rsidRDefault="00082FF7"/>
    <w:p w:rsidR="00E70FC8" w:rsidRDefault="00E70FC8"/>
    <w:p w:rsidR="00E70FC8" w:rsidRDefault="00E70FC8"/>
    <w:p w:rsidR="00E70FC8" w:rsidRDefault="00E70FC8"/>
    <w:p w:rsidR="00E70FC8" w:rsidRDefault="00E70FC8"/>
    <w:p w:rsidR="00E70FC8" w:rsidRDefault="00E70FC8"/>
    <w:p w:rsidR="00E70FC8" w:rsidRDefault="00E70FC8"/>
    <w:p w:rsidR="00E70FC8" w:rsidRDefault="00E70FC8"/>
    <w:p w:rsidR="00E70FC8" w:rsidRDefault="00E70FC8"/>
    <w:p w:rsidR="00E70FC8" w:rsidRDefault="00E70FC8"/>
    <w:p w:rsidR="00E70FC8" w:rsidRDefault="00E70FC8"/>
    <w:p w:rsidR="00E70FC8" w:rsidRDefault="00E70FC8"/>
    <w:p w:rsidR="00E70FC8" w:rsidRDefault="00E70FC8"/>
    <w:p w:rsidR="00E70FC8" w:rsidRDefault="00E70FC8"/>
    <w:p w:rsidR="00E70FC8" w:rsidRDefault="00E70FC8"/>
    <w:p w:rsidR="00E70FC8" w:rsidRDefault="00E70FC8"/>
    <w:p w:rsidR="00E70FC8" w:rsidRDefault="00E70FC8"/>
    <w:p w:rsidR="00082FF7" w:rsidRDefault="00082FF7"/>
    <w:p w:rsidR="00082FF7" w:rsidRDefault="00082FF7" w:rsidP="00FC3B73">
      <w:pPr>
        <w:spacing w:line="480" w:lineRule="auto"/>
        <w:jc w:val="center"/>
        <w:rPr>
          <w:b/>
        </w:rPr>
      </w:pPr>
      <w:r w:rsidRPr="00082FF7">
        <w:rPr>
          <w:b/>
        </w:rPr>
        <w:lastRenderedPageBreak/>
        <w:t>Reference</w:t>
      </w:r>
    </w:p>
    <w:p w:rsidR="00FC3B73" w:rsidRPr="00FC3B73" w:rsidRDefault="00FC3B73" w:rsidP="009D5739">
      <w:pPr>
        <w:pStyle w:val="NormalWeb"/>
        <w:spacing w:line="480" w:lineRule="auto"/>
        <w:ind w:left="720" w:hanging="720"/>
        <w:rPr>
          <w:rFonts w:eastAsia="SimSun"/>
        </w:rPr>
      </w:pPr>
      <w:r w:rsidRPr="00FC3B73">
        <w:rPr>
          <w:rFonts w:eastAsia="SimSun"/>
        </w:rPr>
        <w:t>Adam, T.R. and Goyal, V.K. (2008). The investment opportunity set and its proxy variables. Journal of</w:t>
      </w:r>
      <w:r>
        <w:rPr>
          <w:rFonts w:eastAsia="SimSun"/>
        </w:rPr>
        <w:t xml:space="preserve"> </w:t>
      </w:r>
      <w:r w:rsidRPr="00FC3B73">
        <w:rPr>
          <w:rFonts w:eastAsia="SimSun"/>
        </w:rPr>
        <w:t xml:space="preserve">Financial Research, 31, 41-63. </w:t>
      </w:r>
    </w:p>
    <w:p w:rsidR="00FC3B73" w:rsidRPr="00FC3B73" w:rsidRDefault="00FC3B73" w:rsidP="009D5739">
      <w:pPr>
        <w:pStyle w:val="NormalWeb"/>
        <w:spacing w:line="480" w:lineRule="auto"/>
        <w:ind w:left="720" w:hanging="720"/>
        <w:rPr>
          <w:rFonts w:eastAsia="SimSun"/>
        </w:rPr>
      </w:pPr>
      <w:proofErr w:type="spellStart"/>
      <w:r w:rsidRPr="00FC3B73">
        <w:rPr>
          <w:rFonts w:eastAsia="SimSun"/>
        </w:rPr>
        <w:t>Chivakul</w:t>
      </w:r>
      <w:proofErr w:type="spellEnd"/>
      <w:r w:rsidRPr="00FC3B73">
        <w:rPr>
          <w:rFonts w:eastAsia="SimSun"/>
        </w:rPr>
        <w:t xml:space="preserve">, Mali and Lam, W.R. (2005). Assessing China’s corporate sector vulnerabilities. IMF Working Paper, 15/72. </w:t>
      </w:r>
    </w:p>
    <w:p w:rsidR="00FC3B73" w:rsidRPr="00FC3B73" w:rsidRDefault="00FC3B73" w:rsidP="009D5739">
      <w:pPr>
        <w:pStyle w:val="NormalWeb"/>
        <w:spacing w:line="480" w:lineRule="auto"/>
        <w:ind w:left="720" w:hanging="720"/>
        <w:rPr>
          <w:rFonts w:eastAsia="SimSun"/>
        </w:rPr>
      </w:pPr>
      <w:proofErr w:type="spellStart"/>
      <w:r w:rsidRPr="00FC3B73">
        <w:rPr>
          <w:rFonts w:eastAsia="SimSun"/>
        </w:rPr>
        <w:t>Dewenter</w:t>
      </w:r>
      <w:proofErr w:type="spellEnd"/>
      <w:r w:rsidRPr="00FC3B73">
        <w:rPr>
          <w:rFonts w:eastAsia="SimSun"/>
        </w:rPr>
        <w:t xml:space="preserve">, K., Malatesta, P. (2001). State-owned and </w:t>
      </w:r>
      <w:proofErr w:type="gramStart"/>
      <w:r w:rsidRPr="00FC3B73">
        <w:rPr>
          <w:rFonts w:eastAsia="SimSun"/>
        </w:rPr>
        <w:t>privately owned</w:t>
      </w:r>
      <w:proofErr w:type="gramEnd"/>
      <w:r w:rsidRPr="00FC3B73">
        <w:rPr>
          <w:rFonts w:eastAsia="SimSun"/>
        </w:rPr>
        <w:t xml:space="preserve"> firms: an empirical analysis of profitability, leverage, and labor intensity. American Economic Review. 91, 320–334. </w:t>
      </w:r>
    </w:p>
    <w:p w:rsidR="00FC3B73" w:rsidRPr="00FC3B73" w:rsidRDefault="00FC3B73" w:rsidP="009D5739">
      <w:pPr>
        <w:pStyle w:val="NormalWeb"/>
        <w:spacing w:line="480" w:lineRule="auto"/>
        <w:ind w:left="720" w:hanging="720"/>
        <w:rPr>
          <w:rFonts w:eastAsia="SimSun"/>
        </w:rPr>
      </w:pPr>
      <w:r w:rsidRPr="00FC3B73">
        <w:rPr>
          <w:rFonts w:eastAsia="SimSun"/>
        </w:rPr>
        <w:t>Goldman Sachs. (2018). China Credit Conundrum: Mapping China’s Credit, 2. New York.</w:t>
      </w:r>
    </w:p>
    <w:p w:rsidR="00FC3B73" w:rsidRPr="00FC3B73" w:rsidRDefault="00FC3B73" w:rsidP="009D5739">
      <w:pPr>
        <w:pStyle w:val="NormalWeb"/>
        <w:spacing w:line="480" w:lineRule="auto"/>
        <w:ind w:left="720" w:hanging="720"/>
        <w:rPr>
          <w:rFonts w:eastAsia="SimSun"/>
        </w:rPr>
      </w:pPr>
      <w:r w:rsidRPr="00FC3B73">
        <w:rPr>
          <w:rFonts w:eastAsia="SimSun"/>
        </w:rPr>
        <w:t>Graham, J., Leary, M., &amp; Roberts, M. (2014). A Century of capital structure: The leveraging of corporate America. Journal of Financial Economics,118, 658-683.</w:t>
      </w:r>
    </w:p>
    <w:p w:rsidR="00FC3B73" w:rsidRPr="00FC3B73" w:rsidRDefault="00FC3B73" w:rsidP="009D5739">
      <w:pPr>
        <w:pStyle w:val="NormalWeb"/>
        <w:spacing w:line="480" w:lineRule="auto"/>
        <w:ind w:left="720" w:hanging="720"/>
        <w:rPr>
          <w:rFonts w:eastAsia="SimSun"/>
        </w:rPr>
      </w:pPr>
      <w:r w:rsidRPr="00FC3B73">
        <w:rPr>
          <w:rFonts w:eastAsia="SimSun"/>
        </w:rPr>
        <w:t xml:space="preserve">He, W., Mukherjee, T.K. and Baker, H.K. (2017). The effect of the split share structure reform on working capital management of Chinese companies. Global Financial Journal, 33, 27-37. </w:t>
      </w:r>
    </w:p>
    <w:p w:rsidR="00FC3B73" w:rsidRPr="00FC3B73" w:rsidRDefault="00FC3B73" w:rsidP="009D5739">
      <w:pPr>
        <w:pStyle w:val="NormalWeb"/>
        <w:spacing w:line="480" w:lineRule="auto"/>
        <w:ind w:left="720" w:hanging="720"/>
        <w:rPr>
          <w:rFonts w:eastAsia="SimSun"/>
        </w:rPr>
      </w:pPr>
      <w:r w:rsidRPr="00FC3B73">
        <w:rPr>
          <w:rFonts w:eastAsia="SimSun"/>
        </w:rPr>
        <w:t>Huang, X., Kabir, R. and Zhang, L. (2018). Government ownership and the capital structure of firms: Analysis of an institutional context from China. China Journal of Accounting Research, 11, 171-185.</w:t>
      </w:r>
    </w:p>
    <w:p w:rsidR="00FC3B73" w:rsidRDefault="00FC3B73" w:rsidP="009D5739">
      <w:pPr>
        <w:pStyle w:val="NormalWeb"/>
        <w:spacing w:line="480" w:lineRule="auto"/>
        <w:ind w:left="720" w:hanging="720"/>
        <w:rPr>
          <w:rFonts w:eastAsia="SimSun"/>
        </w:rPr>
      </w:pPr>
      <w:r w:rsidRPr="00FC3B73">
        <w:rPr>
          <w:rFonts w:eastAsia="SimSun"/>
        </w:rPr>
        <w:t>Hull, Robert. (1999). Leverage ratios, industry norms, and stock price reaction: An empirical investigation of stock-for-debt transactions. Financial Management, 28(2), 32-45.</w:t>
      </w:r>
    </w:p>
    <w:p w:rsidR="001C79D2" w:rsidRPr="001C79D2" w:rsidRDefault="001C79D2" w:rsidP="001C79D2">
      <w:pPr>
        <w:pStyle w:val="NormalWeb"/>
        <w:spacing w:line="480" w:lineRule="auto"/>
        <w:ind w:left="720" w:hanging="720"/>
        <w:rPr>
          <w:rFonts w:eastAsia="SimSun"/>
        </w:rPr>
      </w:pPr>
      <w:r w:rsidRPr="001C79D2">
        <w:rPr>
          <w:rFonts w:eastAsia="SimSun"/>
        </w:rPr>
        <w:t xml:space="preserve">Kraus, A.; </w:t>
      </w:r>
      <w:proofErr w:type="spellStart"/>
      <w:r w:rsidRPr="001C79D2">
        <w:rPr>
          <w:rFonts w:eastAsia="SimSun"/>
        </w:rPr>
        <w:t>Litzenberger</w:t>
      </w:r>
      <w:proofErr w:type="spellEnd"/>
      <w:r w:rsidRPr="001C79D2">
        <w:rPr>
          <w:rFonts w:eastAsia="SimSun"/>
        </w:rPr>
        <w:t>, R.H. (1973). A State-Preference Model of Optimal Financial Leverage. </w:t>
      </w:r>
      <w:r w:rsidRPr="001C79D2">
        <w:rPr>
          <w:rFonts w:eastAsia="SimSun"/>
          <w:i/>
        </w:rPr>
        <w:t>Journal of Finance</w:t>
      </w:r>
      <w:r>
        <w:rPr>
          <w:rFonts w:eastAsia="SimSun"/>
          <w:i/>
        </w:rPr>
        <w:t xml:space="preserve">, </w:t>
      </w:r>
      <w:r w:rsidRPr="001C79D2">
        <w:rPr>
          <w:rFonts w:eastAsia="SimSun"/>
        </w:rPr>
        <w:t>28</w:t>
      </w:r>
      <w:r>
        <w:rPr>
          <w:rFonts w:eastAsia="SimSun"/>
        </w:rPr>
        <w:t xml:space="preserve">, </w:t>
      </w:r>
      <w:r w:rsidRPr="001C79D2">
        <w:rPr>
          <w:rFonts w:eastAsia="SimSun"/>
        </w:rPr>
        <w:t>911–922.</w:t>
      </w:r>
    </w:p>
    <w:p w:rsidR="001C79D2" w:rsidRPr="00FC3B73" w:rsidRDefault="001C79D2" w:rsidP="009D5739">
      <w:pPr>
        <w:pStyle w:val="NormalWeb"/>
        <w:spacing w:line="480" w:lineRule="auto"/>
        <w:ind w:left="720" w:hanging="720"/>
        <w:rPr>
          <w:rFonts w:eastAsia="SimSun"/>
        </w:rPr>
      </w:pPr>
    </w:p>
    <w:p w:rsidR="00FC3B73" w:rsidRPr="00FC3B73" w:rsidRDefault="00FC3B73" w:rsidP="009D5739">
      <w:pPr>
        <w:pStyle w:val="NormalWeb"/>
        <w:spacing w:line="480" w:lineRule="auto"/>
        <w:ind w:left="720" w:hanging="720"/>
        <w:rPr>
          <w:rFonts w:eastAsia="SimSun"/>
        </w:rPr>
      </w:pPr>
      <w:r w:rsidRPr="00FC3B73">
        <w:rPr>
          <w:rFonts w:eastAsia="SimSun"/>
        </w:rPr>
        <w:t>Li, K., Wang, T., Cheung, Y.-L., and Jiang, P. (2011). Privatization and Risk Sharing: Evidence from the Split Share Structure Reform in China. The Review of Financial Studies, 24(7), 2499–2525.</w:t>
      </w:r>
    </w:p>
    <w:p w:rsidR="00FC3B73" w:rsidRPr="00FC3B73" w:rsidRDefault="00FC3B73" w:rsidP="009D5739">
      <w:pPr>
        <w:pStyle w:val="NormalWeb"/>
        <w:spacing w:line="480" w:lineRule="auto"/>
        <w:ind w:left="720" w:hanging="720"/>
        <w:rPr>
          <w:rFonts w:eastAsia="SimSun"/>
        </w:rPr>
      </w:pPr>
      <w:proofErr w:type="spellStart"/>
      <w:r w:rsidRPr="00FC3B73">
        <w:rPr>
          <w:rFonts w:eastAsia="SimSun"/>
        </w:rPr>
        <w:lastRenderedPageBreak/>
        <w:t>Mourdoukoutas</w:t>
      </w:r>
      <w:proofErr w:type="spellEnd"/>
      <w:r w:rsidRPr="00FC3B73">
        <w:rPr>
          <w:rFonts w:eastAsia="SimSun"/>
        </w:rPr>
        <w:t xml:space="preserve">, </w:t>
      </w:r>
      <w:proofErr w:type="spellStart"/>
      <w:r w:rsidRPr="00FC3B73">
        <w:rPr>
          <w:rFonts w:eastAsia="SimSun"/>
        </w:rPr>
        <w:t>Panos</w:t>
      </w:r>
      <w:proofErr w:type="spellEnd"/>
      <w:r w:rsidRPr="00FC3B73">
        <w:rPr>
          <w:rFonts w:eastAsia="SimSun"/>
        </w:rPr>
        <w:t xml:space="preserve">. (2018). Debt, not trade war, is China’s biggest problem. Forbes. Retrieved from </w:t>
      </w:r>
      <w:hyperlink r:id="rId29" w:anchor="5c51432e4c4d" w:history="1">
        <w:r w:rsidRPr="00FC3B73">
          <w:rPr>
            <w:rFonts w:eastAsia="SimSun"/>
          </w:rPr>
          <w:t>https://www.forbes.com/sites/panosmourdoukoutas/2018/11/24/debt-not-trade-war-is-chinas-biggest-problem/#5c51432e4c4d</w:t>
        </w:r>
      </w:hyperlink>
      <w:r w:rsidRPr="00FC3B73">
        <w:rPr>
          <w:rFonts w:eastAsia="SimSun"/>
        </w:rPr>
        <w:t>.</w:t>
      </w:r>
    </w:p>
    <w:p w:rsidR="00FC3B73" w:rsidRPr="00FC3B73" w:rsidRDefault="00FC3B73" w:rsidP="009D5739">
      <w:pPr>
        <w:pStyle w:val="NormalWeb"/>
        <w:spacing w:line="480" w:lineRule="auto"/>
        <w:ind w:left="720" w:hanging="720"/>
        <w:rPr>
          <w:rFonts w:eastAsia="SimSun"/>
        </w:rPr>
      </w:pPr>
      <w:proofErr w:type="spellStart"/>
      <w:r w:rsidRPr="00FC3B73">
        <w:rPr>
          <w:rFonts w:eastAsia="SimSun"/>
        </w:rPr>
        <w:t>Pessarossi</w:t>
      </w:r>
      <w:proofErr w:type="spellEnd"/>
      <w:r w:rsidRPr="00FC3B73">
        <w:rPr>
          <w:rFonts w:eastAsia="SimSun"/>
        </w:rPr>
        <w:t>, P., Weill, L. (2013). Choice of corporate debt in China: the role of state ownership. China Economic Review. 26, 1–16.</w:t>
      </w:r>
    </w:p>
    <w:p w:rsidR="00FC3B73" w:rsidRPr="00FC3B73" w:rsidRDefault="00FC3B73" w:rsidP="009D5739">
      <w:pPr>
        <w:pStyle w:val="NormalWeb"/>
        <w:spacing w:line="480" w:lineRule="auto"/>
        <w:ind w:left="720" w:hanging="720"/>
        <w:rPr>
          <w:rFonts w:eastAsia="SimSun"/>
        </w:rPr>
      </w:pPr>
      <w:r w:rsidRPr="00FC3B73">
        <w:rPr>
          <w:rFonts w:eastAsia="SimSun"/>
        </w:rPr>
        <w:t xml:space="preserve">Qian, </w:t>
      </w:r>
      <w:proofErr w:type="spellStart"/>
      <w:r w:rsidRPr="00FC3B73">
        <w:rPr>
          <w:rFonts w:eastAsia="SimSun"/>
        </w:rPr>
        <w:t>Yingqian</w:t>
      </w:r>
      <w:proofErr w:type="spellEnd"/>
      <w:r w:rsidRPr="00FC3B73">
        <w:rPr>
          <w:rFonts w:eastAsia="SimSun"/>
        </w:rPr>
        <w:t xml:space="preserve">. (1996). Enterprise reform in China: agency problems and political control. Economics of Transition, 4 (2), 427-447. </w:t>
      </w:r>
    </w:p>
    <w:p w:rsidR="00FC3B73" w:rsidRPr="00FC3B73" w:rsidRDefault="00FC3B73" w:rsidP="009D5739">
      <w:pPr>
        <w:pStyle w:val="NormalWeb"/>
        <w:spacing w:line="480" w:lineRule="auto"/>
        <w:ind w:left="720" w:hanging="720"/>
        <w:rPr>
          <w:rFonts w:eastAsia="SimSun"/>
        </w:rPr>
      </w:pPr>
      <w:r w:rsidRPr="00FC3B73">
        <w:rPr>
          <w:rFonts w:eastAsia="SimSun"/>
        </w:rPr>
        <w:t>Shao, Y., Hernández, R. and Liu, P. (2015). Government intervention and corporate policies: evidence from China. Journal of Business Research, 68(6), 1205-1215.</w:t>
      </w:r>
    </w:p>
    <w:p w:rsidR="00FC3B73" w:rsidRPr="00FC3B73" w:rsidRDefault="00FC3B73" w:rsidP="009D5739">
      <w:pPr>
        <w:pStyle w:val="NormalWeb"/>
        <w:spacing w:line="480" w:lineRule="auto"/>
        <w:ind w:left="720" w:hanging="720"/>
        <w:rPr>
          <w:rFonts w:eastAsia="SimSun"/>
        </w:rPr>
      </w:pPr>
      <w:r w:rsidRPr="00FC3B73">
        <w:rPr>
          <w:rFonts w:eastAsia="SimSun"/>
        </w:rPr>
        <w:t>Sun, Q., Tong, W. (2003). China share issue privatization: the extent of its success. Journal of Financial Economics. 70, 183–222.</w:t>
      </w:r>
    </w:p>
    <w:p w:rsidR="00FC3B73" w:rsidRPr="00FC3B73" w:rsidRDefault="00FC3B73" w:rsidP="009D5739">
      <w:pPr>
        <w:pStyle w:val="NormalWeb"/>
        <w:spacing w:line="480" w:lineRule="auto"/>
        <w:ind w:left="720" w:hanging="720"/>
        <w:rPr>
          <w:rFonts w:eastAsia="SimSun"/>
        </w:rPr>
      </w:pPr>
      <w:r w:rsidRPr="00FC3B73">
        <w:rPr>
          <w:rFonts w:eastAsia="SimSun"/>
        </w:rPr>
        <w:t xml:space="preserve">Xiao, </w:t>
      </w:r>
      <w:proofErr w:type="spellStart"/>
      <w:r w:rsidRPr="00FC3B73">
        <w:rPr>
          <w:rFonts w:eastAsia="SimSun"/>
        </w:rPr>
        <w:t>Zuoping</w:t>
      </w:r>
      <w:proofErr w:type="spellEnd"/>
      <w:r w:rsidRPr="00FC3B73">
        <w:rPr>
          <w:rFonts w:eastAsia="SimSun"/>
        </w:rPr>
        <w:t xml:space="preserve">. (2011). Ownership control right divergence, Government intervention and choice of capital structure: Empirical evidence from listed companies in China. Nankai Business Review, 2(3), 303-324. </w:t>
      </w:r>
    </w:p>
    <w:p w:rsidR="00FC3B73" w:rsidRPr="00FC3B73" w:rsidRDefault="00FC3B73" w:rsidP="009D5739">
      <w:pPr>
        <w:pStyle w:val="NormalWeb"/>
        <w:spacing w:line="480" w:lineRule="auto"/>
        <w:ind w:left="720" w:hanging="720"/>
        <w:rPr>
          <w:rFonts w:eastAsia="SimSun"/>
        </w:rPr>
      </w:pPr>
      <w:r w:rsidRPr="00FC3B73">
        <w:rPr>
          <w:rFonts w:eastAsia="SimSun"/>
        </w:rPr>
        <w:t>Xu, L.C., Zhu, T. and Lin, Y.-M. (2005). Politician control, agency problems, and firm performance: evidence from a national survey of ownership restructuring in China. Economics of Transition, 13(1), 1-24.</w:t>
      </w:r>
    </w:p>
    <w:p w:rsidR="00FC3B73" w:rsidRPr="00FC3B73" w:rsidRDefault="00FC3B73" w:rsidP="009D5739">
      <w:pPr>
        <w:pStyle w:val="NormalWeb"/>
        <w:spacing w:line="480" w:lineRule="auto"/>
        <w:ind w:left="720" w:hanging="720"/>
        <w:rPr>
          <w:rFonts w:eastAsia="SimSun"/>
        </w:rPr>
      </w:pPr>
      <w:r w:rsidRPr="00FC3B73">
        <w:rPr>
          <w:rFonts w:eastAsia="SimSun"/>
        </w:rPr>
        <w:t xml:space="preserve">Zhuang, </w:t>
      </w:r>
      <w:proofErr w:type="spellStart"/>
      <w:r w:rsidRPr="00FC3B73">
        <w:rPr>
          <w:rFonts w:eastAsia="SimSun"/>
        </w:rPr>
        <w:t>Guijun</w:t>
      </w:r>
      <w:proofErr w:type="spellEnd"/>
      <w:r w:rsidRPr="00FC3B73">
        <w:rPr>
          <w:rFonts w:eastAsia="SimSun"/>
        </w:rPr>
        <w:t>. (2013). Structural change in China's retail industry in the first decade of the new century. Journal of Marketing Channels, 20, 288-324.</w:t>
      </w:r>
    </w:p>
    <w:p w:rsidR="00082FF7" w:rsidRPr="009D5739" w:rsidRDefault="00082FF7" w:rsidP="00075BB0">
      <w:pPr>
        <w:pStyle w:val="NormalWeb"/>
        <w:spacing w:line="480" w:lineRule="auto"/>
        <w:rPr>
          <w:rFonts w:eastAsia="SimSun"/>
        </w:rPr>
      </w:pPr>
    </w:p>
    <w:sectPr w:rsidR="00082FF7" w:rsidRPr="009D5739" w:rsidSect="009C58EE">
      <w:headerReference w:type="even" r:id="rId30"/>
      <w:headerReference w:type="default" r:id="rId31"/>
      <w:pgSz w:w="11900" w:h="16840"/>
      <w:pgMar w:top="720" w:right="720" w:bottom="720" w:left="72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33F9" w:rsidRDefault="000833F9" w:rsidP="00A8405F">
      <w:r>
        <w:separator/>
      </w:r>
    </w:p>
  </w:endnote>
  <w:endnote w:type="continuationSeparator" w:id="0">
    <w:p w:rsidR="000833F9" w:rsidRDefault="000833F9" w:rsidP="00A84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SimSun">
    <w:altName w:val="____"/>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33F9" w:rsidRDefault="000833F9" w:rsidP="00A8405F">
      <w:r>
        <w:separator/>
      </w:r>
    </w:p>
  </w:footnote>
  <w:footnote w:type="continuationSeparator" w:id="0">
    <w:p w:rsidR="000833F9" w:rsidRDefault="000833F9" w:rsidP="00A8405F">
      <w:r>
        <w:continuationSeparator/>
      </w:r>
    </w:p>
  </w:footnote>
  <w:footnote w:id="1">
    <w:p w:rsidR="00CC367A" w:rsidRPr="00BF718D" w:rsidRDefault="00CC367A" w:rsidP="00BF718D">
      <w:pPr>
        <w:rPr>
          <w:rFonts w:eastAsia="Arial"/>
          <w:sz w:val="20"/>
          <w:szCs w:val="20"/>
          <w:highlight w:val="white"/>
        </w:rPr>
      </w:pPr>
      <w:r w:rsidRPr="00BF718D">
        <w:rPr>
          <w:rStyle w:val="FootnoteReference"/>
          <w:sz w:val="20"/>
          <w:szCs w:val="20"/>
        </w:rPr>
        <w:footnoteRef/>
      </w:r>
      <w:r w:rsidRPr="00BF718D">
        <w:rPr>
          <w:sz w:val="20"/>
          <w:szCs w:val="20"/>
        </w:rPr>
        <w:t xml:space="preserve"> Source: </w:t>
      </w:r>
      <w:r w:rsidRPr="00BF718D">
        <w:rPr>
          <w:rFonts w:eastAsia="Arial"/>
          <w:sz w:val="20"/>
          <w:szCs w:val="20"/>
          <w:highlight w:val="white"/>
        </w:rPr>
        <w:t>https://www.macrotrends.net/2575/us-dollar-yuan-exchange-rate-historical-chart</w:t>
      </w:r>
    </w:p>
    <w:p w:rsidR="00CC367A" w:rsidRPr="00BF718D" w:rsidRDefault="00CC367A">
      <w:pPr>
        <w:pStyle w:val="FootnoteText"/>
      </w:pPr>
    </w:p>
  </w:footnote>
  <w:footnote w:id="2">
    <w:p w:rsidR="00CC367A" w:rsidRDefault="00CC367A" w:rsidP="003715B1">
      <w:pPr>
        <w:pStyle w:val="FootnoteText"/>
      </w:pPr>
      <w:r>
        <w:rPr>
          <w:rStyle w:val="FootnoteReference"/>
        </w:rPr>
        <w:footnoteRef/>
      </w:r>
      <w:r>
        <w:t xml:space="preserve"> Return on invested capital ratio is calculated as net operating profit after tax divided by total invested capital.</w:t>
      </w:r>
    </w:p>
  </w:footnote>
  <w:footnote w:id="3">
    <w:p w:rsidR="00CC367A" w:rsidRDefault="00CC367A">
      <w:pPr>
        <w:pStyle w:val="FootnoteText"/>
      </w:pPr>
      <w:r>
        <w:rPr>
          <w:rStyle w:val="FootnoteReference"/>
        </w:rPr>
        <w:footnoteRef/>
      </w:r>
      <w:r>
        <w:t xml:space="preserve"> Operating profit margin is calculated as earnings before interest and taxes (EBIT) divided by total operating revenue.</w:t>
      </w:r>
    </w:p>
  </w:footnote>
  <w:footnote w:id="4">
    <w:p w:rsidR="00CC367A" w:rsidRPr="00F83111" w:rsidRDefault="00CC367A">
      <w:pPr>
        <w:pStyle w:val="FootnoteText"/>
      </w:pPr>
      <w:r w:rsidRPr="00F83111">
        <w:rPr>
          <w:rStyle w:val="FootnoteReference"/>
        </w:rPr>
        <w:footnoteRef/>
      </w:r>
      <w:r w:rsidRPr="00F83111">
        <w:t xml:space="preserve"> For more details about firm-level control variables, please refer to Appendix A and Appendix C.</w:t>
      </w:r>
    </w:p>
  </w:footnote>
  <w:footnote w:id="5">
    <w:p w:rsidR="00CC367A" w:rsidRDefault="00CC367A" w:rsidP="00FF6468">
      <w:pPr>
        <w:pStyle w:val="FootnoteText"/>
      </w:pPr>
      <w:r w:rsidRPr="00F83111">
        <w:rPr>
          <w:rStyle w:val="FootnoteReference"/>
        </w:rPr>
        <w:footnoteRef/>
      </w:r>
      <w:r w:rsidRPr="00F83111">
        <w:t xml:space="preserve"> Additional regression results with firm-level control variables can be found in Appendix C.</w:t>
      </w:r>
    </w:p>
  </w:footnote>
  <w:footnote w:id="6">
    <w:p w:rsidR="00CC367A" w:rsidRDefault="00CC367A">
      <w:pPr>
        <w:pStyle w:val="FootnoteText"/>
      </w:pPr>
      <w:r>
        <w:rPr>
          <w:rStyle w:val="FootnoteReference"/>
        </w:rPr>
        <w:footnoteRef/>
      </w:r>
      <w:r>
        <w:t xml:space="preserve"> This refers to the variable in the regression. The capital expenditure in the summary statistics is its absolute value without adjustment for total assets.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26346181"/>
      <w:docPartObj>
        <w:docPartGallery w:val="Page Numbers (Top of Page)"/>
        <w:docPartUnique/>
      </w:docPartObj>
    </w:sdtPr>
    <w:sdtEndPr>
      <w:rPr>
        <w:rStyle w:val="PageNumber"/>
      </w:rPr>
    </w:sdtEndPr>
    <w:sdtContent>
      <w:p w:rsidR="00CC367A" w:rsidRDefault="00CC367A" w:rsidP="009C58E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C367A" w:rsidRDefault="00CC367A" w:rsidP="009C58E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20013980"/>
      <w:docPartObj>
        <w:docPartGallery w:val="Page Numbers (Top of Page)"/>
        <w:docPartUnique/>
      </w:docPartObj>
    </w:sdtPr>
    <w:sdtEndPr>
      <w:rPr>
        <w:rStyle w:val="PageNumber"/>
      </w:rPr>
    </w:sdtEndPr>
    <w:sdtContent>
      <w:p w:rsidR="00CC367A" w:rsidRDefault="00CC367A" w:rsidP="009C58E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CC367A" w:rsidRDefault="00CC367A" w:rsidP="009C58E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B0C08"/>
    <w:multiLevelType w:val="hybridMultilevel"/>
    <w:tmpl w:val="A762C72C"/>
    <w:lvl w:ilvl="0" w:tplc="3D2C20DA">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587167"/>
    <w:multiLevelType w:val="hybridMultilevel"/>
    <w:tmpl w:val="73E8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A94AD6"/>
    <w:multiLevelType w:val="hybridMultilevel"/>
    <w:tmpl w:val="F2AC449A"/>
    <w:lvl w:ilvl="0" w:tplc="2378FB36">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6E221B"/>
    <w:multiLevelType w:val="multilevel"/>
    <w:tmpl w:val="20FA90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7D22E72"/>
    <w:multiLevelType w:val="hybridMultilevel"/>
    <w:tmpl w:val="F5C09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CB4BF8"/>
    <w:multiLevelType w:val="hybridMultilevel"/>
    <w:tmpl w:val="353E004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385138"/>
    <w:multiLevelType w:val="hybridMultilevel"/>
    <w:tmpl w:val="0FB87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A5E"/>
    <w:rsid w:val="00000536"/>
    <w:rsid w:val="00001A61"/>
    <w:rsid w:val="000032B4"/>
    <w:rsid w:val="000037E8"/>
    <w:rsid w:val="0000435D"/>
    <w:rsid w:val="00007265"/>
    <w:rsid w:val="00010CC0"/>
    <w:rsid w:val="000115F1"/>
    <w:rsid w:val="00012433"/>
    <w:rsid w:val="00014027"/>
    <w:rsid w:val="00015580"/>
    <w:rsid w:val="000179E0"/>
    <w:rsid w:val="000249DC"/>
    <w:rsid w:val="000256A7"/>
    <w:rsid w:val="00030948"/>
    <w:rsid w:val="000313D2"/>
    <w:rsid w:val="00031407"/>
    <w:rsid w:val="00034F74"/>
    <w:rsid w:val="00036B3F"/>
    <w:rsid w:val="00037D9B"/>
    <w:rsid w:val="00044C17"/>
    <w:rsid w:val="00051F81"/>
    <w:rsid w:val="00053C51"/>
    <w:rsid w:val="0005412D"/>
    <w:rsid w:val="00055A55"/>
    <w:rsid w:val="000600F6"/>
    <w:rsid w:val="0006145F"/>
    <w:rsid w:val="00061CE3"/>
    <w:rsid w:val="00062E58"/>
    <w:rsid w:val="00063DCF"/>
    <w:rsid w:val="00073B25"/>
    <w:rsid w:val="00075BB0"/>
    <w:rsid w:val="00076009"/>
    <w:rsid w:val="00082DC5"/>
    <w:rsid w:val="00082FF7"/>
    <w:rsid w:val="000833F9"/>
    <w:rsid w:val="000878FE"/>
    <w:rsid w:val="000910DF"/>
    <w:rsid w:val="00091FC3"/>
    <w:rsid w:val="000A2CF2"/>
    <w:rsid w:val="000A320A"/>
    <w:rsid w:val="000A37B6"/>
    <w:rsid w:val="000A54F1"/>
    <w:rsid w:val="000B01DE"/>
    <w:rsid w:val="000B11A1"/>
    <w:rsid w:val="000B1E45"/>
    <w:rsid w:val="000B5C8F"/>
    <w:rsid w:val="000B65D0"/>
    <w:rsid w:val="000B6671"/>
    <w:rsid w:val="000C6EEE"/>
    <w:rsid w:val="000D1AD2"/>
    <w:rsid w:val="000D4038"/>
    <w:rsid w:val="000D4A7E"/>
    <w:rsid w:val="000D4B9C"/>
    <w:rsid w:val="000D4CD5"/>
    <w:rsid w:val="000E2081"/>
    <w:rsid w:val="000E214E"/>
    <w:rsid w:val="000E222C"/>
    <w:rsid w:val="000E2B8C"/>
    <w:rsid w:val="000F01D1"/>
    <w:rsid w:val="000F277C"/>
    <w:rsid w:val="000F39FF"/>
    <w:rsid w:val="000F67A2"/>
    <w:rsid w:val="000F789F"/>
    <w:rsid w:val="00104C1B"/>
    <w:rsid w:val="001111F4"/>
    <w:rsid w:val="00121AD6"/>
    <w:rsid w:val="00134AC9"/>
    <w:rsid w:val="00136D6F"/>
    <w:rsid w:val="00137886"/>
    <w:rsid w:val="00137BBB"/>
    <w:rsid w:val="0014015C"/>
    <w:rsid w:val="0014184D"/>
    <w:rsid w:val="001428F5"/>
    <w:rsid w:val="00145B54"/>
    <w:rsid w:val="00147B54"/>
    <w:rsid w:val="00150A6C"/>
    <w:rsid w:val="001521F1"/>
    <w:rsid w:val="00153505"/>
    <w:rsid w:val="00164791"/>
    <w:rsid w:val="00166AB6"/>
    <w:rsid w:val="00166ADE"/>
    <w:rsid w:val="00170F64"/>
    <w:rsid w:val="0018392E"/>
    <w:rsid w:val="001862A3"/>
    <w:rsid w:val="00191837"/>
    <w:rsid w:val="001923CA"/>
    <w:rsid w:val="00192A3E"/>
    <w:rsid w:val="00193778"/>
    <w:rsid w:val="0019527C"/>
    <w:rsid w:val="00197741"/>
    <w:rsid w:val="001A0A2E"/>
    <w:rsid w:val="001A3562"/>
    <w:rsid w:val="001A50D5"/>
    <w:rsid w:val="001A683D"/>
    <w:rsid w:val="001B02B1"/>
    <w:rsid w:val="001B04C9"/>
    <w:rsid w:val="001B5361"/>
    <w:rsid w:val="001C08AF"/>
    <w:rsid w:val="001C142F"/>
    <w:rsid w:val="001C4E64"/>
    <w:rsid w:val="001C5883"/>
    <w:rsid w:val="001C5C91"/>
    <w:rsid w:val="001C79D2"/>
    <w:rsid w:val="001D2B3C"/>
    <w:rsid w:val="001E136C"/>
    <w:rsid w:val="001F26C2"/>
    <w:rsid w:val="001F2E79"/>
    <w:rsid w:val="001F3F70"/>
    <w:rsid w:val="001F52C0"/>
    <w:rsid w:val="001F5B9C"/>
    <w:rsid w:val="001F6B2C"/>
    <w:rsid w:val="001F71CC"/>
    <w:rsid w:val="00205959"/>
    <w:rsid w:val="00205B68"/>
    <w:rsid w:val="00211528"/>
    <w:rsid w:val="00213F2B"/>
    <w:rsid w:val="00214A57"/>
    <w:rsid w:val="00216927"/>
    <w:rsid w:val="002237FA"/>
    <w:rsid w:val="002253FE"/>
    <w:rsid w:val="00226933"/>
    <w:rsid w:val="002308F6"/>
    <w:rsid w:val="00230E70"/>
    <w:rsid w:val="00231567"/>
    <w:rsid w:val="00232E86"/>
    <w:rsid w:val="00237B01"/>
    <w:rsid w:val="0024121C"/>
    <w:rsid w:val="002454F6"/>
    <w:rsid w:val="00250B8E"/>
    <w:rsid w:val="002516C9"/>
    <w:rsid w:val="002547ED"/>
    <w:rsid w:val="00254D0F"/>
    <w:rsid w:val="00254D15"/>
    <w:rsid w:val="00256108"/>
    <w:rsid w:val="00257391"/>
    <w:rsid w:val="002617C1"/>
    <w:rsid w:val="00261C16"/>
    <w:rsid w:val="002723BF"/>
    <w:rsid w:val="00277DEE"/>
    <w:rsid w:val="00282F14"/>
    <w:rsid w:val="002830AC"/>
    <w:rsid w:val="002842C2"/>
    <w:rsid w:val="00287844"/>
    <w:rsid w:val="002928F4"/>
    <w:rsid w:val="00293527"/>
    <w:rsid w:val="00294697"/>
    <w:rsid w:val="002A2A8A"/>
    <w:rsid w:val="002B55A8"/>
    <w:rsid w:val="002C0253"/>
    <w:rsid w:val="002C15F9"/>
    <w:rsid w:val="002D0515"/>
    <w:rsid w:val="002D10C7"/>
    <w:rsid w:val="002D27DE"/>
    <w:rsid w:val="002D3F44"/>
    <w:rsid w:val="002D633F"/>
    <w:rsid w:val="002D6FF7"/>
    <w:rsid w:val="002D736A"/>
    <w:rsid w:val="002D7B67"/>
    <w:rsid w:val="002E40CF"/>
    <w:rsid w:val="002E4151"/>
    <w:rsid w:val="002E4597"/>
    <w:rsid w:val="002E5FD6"/>
    <w:rsid w:val="002F117C"/>
    <w:rsid w:val="002F1D38"/>
    <w:rsid w:val="002F460D"/>
    <w:rsid w:val="002F67AD"/>
    <w:rsid w:val="00301418"/>
    <w:rsid w:val="003022CF"/>
    <w:rsid w:val="00303315"/>
    <w:rsid w:val="00303C59"/>
    <w:rsid w:val="003040AA"/>
    <w:rsid w:val="0030683C"/>
    <w:rsid w:val="00306860"/>
    <w:rsid w:val="003100D0"/>
    <w:rsid w:val="003109B4"/>
    <w:rsid w:val="00313F74"/>
    <w:rsid w:val="0032495B"/>
    <w:rsid w:val="003263BF"/>
    <w:rsid w:val="00333573"/>
    <w:rsid w:val="00333D9F"/>
    <w:rsid w:val="0033662F"/>
    <w:rsid w:val="00345195"/>
    <w:rsid w:val="003527F1"/>
    <w:rsid w:val="003534EB"/>
    <w:rsid w:val="00356958"/>
    <w:rsid w:val="003715B1"/>
    <w:rsid w:val="00372BE0"/>
    <w:rsid w:val="00382FF9"/>
    <w:rsid w:val="00384D30"/>
    <w:rsid w:val="00390CCE"/>
    <w:rsid w:val="003928DD"/>
    <w:rsid w:val="00394144"/>
    <w:rsid w:val="003A268B"/>
    <w:rsid w:val="003A33D8"/>
    <w:rsid w:val="003A48CA"/>
    <w:rsid w:val="003A532F"/>
    <w:rsid w:val="003A6DA3"/>
    <w:rsid w:val="003B2C8D"/>
    <w:rsid w:val="003B4424"/>
    <w:rsid w:val="003B797B"/>
    <w:rsid w:val="003C5F74"/>
    <w:rsid w:val="003C69A2"/>
    <w:rsid w:val="003C7345"/>
    <w:rsid w:val="003D2402"/>
    <w:rsid w:val="003D2918"/>
    <w:rsid w:val="003D6840"/>
    <w:rsid w:val="003E24BE"/>
    <w:rsid w:val="003E4D36"/>
    <w:rsid w:val="003E500D"/>
    <w:rsid w:val="003E62CB"/>
    <w:rsid w:val="003F0AFD"/>
    <w:rsid w:val="00401712"/>
    <w:rsid w:val="0040263C"/>
    <w:rsid w:val="00405B5B"/>
    <w:rsid w:val="00412375"/>
    <w:rsid w:val="004128C1"/>
    <w:rsid w:val="00412E93"/>
    <w:rsid w:val="0041467E"/>
    <w:rsid w:val="00414800"/>
    <w:rsid w:val="004158F3"/>
    <w:rsid w:val="00416C52"/>
    <w:rsid w:val="00420590"/>
    <w:rsid w:val="0042151B"/>
    <w:rsid w:val="00423AF8"/>
    <w:rsid w:val="0043394F"/>
    <w:rsid w:val="004353D9"/>
    <w:rsid w:val="00437B4D"/>
    <w:rsid w:val="00441A6F"/>
    <w:rsid w:val="00444F8B"/>
    <w:rsid w:val="0044689A"/>
    <w:rsid w:val="00453786"/>
    <w:rsid w:val="00454C11"/>
    <w:rsid w:val="004553CA"/>
    <w:rsid w:val="00457204"/>
    <w:rsid w:val="0045771A"/>
    <w:rsid w:val="00471D88"/>
    <w:rsid w:val="00471D9E"/>
    <w:rsid w:val="0047341A"/>
    <w:rsid w:val="00480338"/>
    <w:rsid w:val="00481259"/>
    <w:rsid w:val="00482E0E"/>
    <w:rsid w:val="00485FDF"/>
    <w:rsid w:val="00492F06"/>
    <w:rsid w:val="00493CE9"/>
    <w:rsid w:val="004A4458"/>
    <w:rsid w:val="004C2EB7"/>
    <w:rsid w:val="004C2F34"/>
    <w:rsid w:val="004C4654"/>
    <w:rsid w:val="004D0574"/>
    <w:rsid w:val="004D2CC4"/>
    <w:rsid w:val="004D634E"/>
    <w:rsid w:val="004E174D"/>
    <w:rsid w:val="004E730D"/>
    <w:rsid w:val="004F369A"/>
    <w:rsid w:val="004F7B44"/>
    <w:rsid w:val="004F7F25"/>
    <w:rsid w:val="005008C5"/>
    <w:rsid w:val="005046A3"/>
    <w:rsid w:val="00505AD9"/>
    <w:rsid w:val="005060B7"/>
    <w:rsid w:val="005069EA"/>
    <w:rsid w:val="00506B68"/>
    <w:rsid w:val="00506C1D"/>
    <w:rsid w:val="0051016C"/>
    <w:rsid w:val="0051675E"/>
    <w:rsid w:val="0051680A"/>
    <w:rsid w:val="005229F7"/>
    <w:rsid w:val="0052445F"/>
    <w:rsid w:val="0052484A"/>
    <w:rsid w:val="0052798C"/>
    <w:rsid w:val="00530889"/>
    <w:rsid w:val="0053114E"/>
    <w:rsid w:val="00531FD8"/>
    <w:rsid w:val="005332C2"/>
    <w:rsid w:val="00537FB7"/>
    <w:rsid w:val="00540F9A"/>
    <w:rsid w:val="0054440C"/>
    <w:rsid w:val="0054664A"/>
    <w:rsid w:val="0055006B"/>
    <w:rsid w:val="00551D10"/>
    <w:rsid w:val="0055571E"/>
    <w:rsid w:val="00556415"/>
    <w:rsid w:val="00557D53"/>
    <w:rsid w:val="00560D4A"/>
    <w:rsid w:val="00565D9F"/>
    <w:rsid w:val="00567667"/>
    <w:rsid w:val="00575304"/>
    <w:rsid w:val="00575A51"/>
    <w:rsid w:val="00580652"/>
    <w:rsid w:val="0058256F"/>
    <w:rsid w:val="00583115"/>
    <w:rsid w:val="00591DCF"/>
    <w:rsid w:val="005A1311"/>
    <w:rsid w:val="005A208B"/>
    <w:rsid w:val="005A38B1"/>
    <w:rsid w:val="005B38DF"/>
    <w:rsid w:val="005B6290"/>
    <w:rsid w:val="005B6740"/>
    <w:rsid w:val="005B702A"/>
    <w:rsid w:val="005B7B74"/>
    <w:rsid w:val="005B7C1E"/>
    <w:rsid w:val="005C1E45"/>
    <w:rsid w:val="005C66AF"/>
    <w:rsid w:val="005D6D8F"/>
    <w:rsid w:val="005E5A77"/>
    <w:rsid w:val="005F07A8"/>
    <w:rsid w:val="005F145F"/>
    <w:rsid w:val="005F1E6B"/>
    <w:rsid w:val="0060074F"/>
    <w:rsid w:val="00601C11"/>
    <w:rsid w:val="00602222"/>
    <w:rsid w:val="00603C17"/>
    <w:rsid w:val="00604227"/>
    <w:rsid w:val="0060696A"/>
    <w:rsid w:val="00614D15"/>
    <w:rsid w:val="006258C3"/>
    <w:rsid w:val="00632406"/>
    <w:rsid w:val="00633AC1"/>
    <w:rsid w:val="00635C6B"/>
    <w:rsid w:val="006426C0"/>
    <w:rsid w:val="00642BBB"/>
    <w:rsid w:val="00646A50"/>
    <w:rsid w:val="00646F37"/>
    <w:rsid w:val="00647B5B"/>
    <w:rsid w:val="00647F6C"/>
    <w:rsid w:val="0065018F"/>
    <w:rsid w:val="00650DC2"/>
    <w:rsid w:val="006702E4"/>
    <w:rsid w:val="00671EE4"/>
    <w:rsid w:val="00683239"/>
    <w:rsid w:val="0069613F"/>
    <w:rsid w:val="00696E51"/>
    <w:rsid w:val="006A0BC6"/>
    <w:rsid w:val="006A32B3"/>
    <w:rsid w:val="006B129A"/>
    <w:rsid w:val="006B12FA"/>
    <w:rsid w:val="006B1E45"/>
    <w:rsid w:val="006B3DC5"/>
    <w:rsid w:val="006B71AE"/>
    <w:rsid w:val="006C1F48"/>
    <w:rsid w:val="006C2C06"/>
    <w:rsid w:val="006C3A4E"/>
    <w:rsid w:val="006C62CC"/>
    <w:rsid w:val="006D0633"/>
    <w:rsid w:val="006D7ACF"/>
    <w:rsid w:val="006E2816"/>
    <w:rsid w:val="006E4A4F"/>
    <w:rsid w:val="00700243"/>
    <w:rsid w:val="007010E8"/>
    <w:rsid w:val="00703682"/>
    <w:rsid w:val="00705A55"/>
    <w:rsid w:val="007069B1"/>
    <w:rsid w:val="00713720"/>
    <w:rsid w:val="0071513A"/>
    <w:rsid w:val="00715262"/>
    <w:rsid w:val="007158D4"/>
    <w:rsid w:val="00717629"/>
    <w:rsid w:val="0072334D"/>
    <w:rsid w:val="00725BA1"/>
    <w:rsid w:val="00730CBC"/>
    <w:rsid w:val="00732300"/>
    <w:rsid w:val="007327D3"/>
    <w:rsid w:val="00732AF0"/>
    <w:rsid w:val="00733523"/>
    <w:rsid w:val="007433A3"/>
    <w:rsid w:val="00743A20"/>
    <w:rsid w:val="00746530"/>
    <w:rsid w:val="00752D66"/>
    <w:rsid w:val="00755C55"/>
    <w:rsid w:val="007565B0"/>
    <w:rsid w:val="00757E7A"/>
    <w:rsid w:val="007623D3"/>
    <w:rsid w:val="007677A5"/>
    <w:rsid w:val="007712CC"/>
    <w:rsid w:val="00772665"/>
    <w:rsid w:val="00780D16"/>
    <w:rsid w:val="00781030"/>
    <w:rsid w:val="0078115D"/>
    <w:rsid w:val="00781D1D"/>
    <w:rsid w:val="00781EEE"/>
    <w:rsid w:val="0078218B"/>
    <w:rsid w:val="00784D00"/>
    <w:rsid w:val="0078541C"/>
    <w:rsid w:val="00794B00"/>
    <w:rsid w:val="007950C0"/>
    <w:rsid w:val="0079540F"/>
    <w:rsid w:val="007965CF"/>
    <w:rsid w:val="007978E6"/>
    <w:rsid w:val="007A013E"/>
    <w:rsid w:val="007A49D8"/>
    <w:rsid w:val="007A710D"/>
    <w:rsid w:val="007B07DF"/>
    <w:rsid w:val="007B58F8"/>
    <w:rsid w:val="007B6C60"/>
    <w:rsid w:val="007B7D78"/>
    <w:rsid w:val="007C0A67"/>
    <w:rsid w:val="007C0EB6"/>
    <w:rsid w:val="007C18CC"/>
    <w:rsid w:val="007C1E19"/>
    <w:rsid w:val="007C2C6C"/>
    <w:rsid w:val="007C4D18"/>
    <w:rsid w:val="007C7814"/>
    <w:rsid w:val="007C79FE"/>
    <w:rsid w:val="007C7D6F"/>
    <w:rsid w:val="007D0447"/>
    <w:rsid w:val="007D5D08"/>
    <w:rsid w:val="007D61AC"/>
    <w:rsid w:val="007D623C"/>
    <w:rsid w:val="007E0DAA"/>
    <w:rsid w:val="007E157F"/>
    <w:rsid w:val="007E1CC9"/>
    <w:rsid w:val="007E34B6"/>
    <w:rsid w:val="007F0A5D"/>
    <w:rsid w:val="0080148C"/>
    <w:rsid w:val="00802ABE"/>
    <w:rsid w:val="00803A1E"/>
    <w:rsid w:val="00805418"/>
    <w:rsid w:val="00805DE9"/>
    <w:rsid w:val="008065FC"/>
    <w:rsid w:val="008143D8"/>
    <w:rsid w:val="008175D2"/>
    <w:rsid w:val="008218D6"/>
    <w:rsid w:val="008234A0"/>
    <w:rsid w:val="0082546D"/>
    <w:rsid w:val="0082729F"/>
    <w:rsid w:val="008306D9"/>
    <w:rsid w:val="00832256"/>
    <w:rsid w:val="008344F8"/>
    <w:rsid w:val="00836674"/>
    <w:rsid w:val="00836845"/>
    <w:rsid w:val="00840F07"/>
    <w:rsid w:val="008508C7"/>
    <w:rsid w:val="0085416F"/>
    <w:rsid w:val="00855A7B"/>
    <w:rsid w:val="0086697B"/>
    <w:rsid w:val="00866D3F"/>
    <w:rsid w:val="008676AD"/>
    <w:rsid w:val="0087053B"/>
    <w:rsid w:val="00882574"/>
    <w:rsid w:val="00883100"/>
    <w:rsid w:val="00883254"/>
    <w:rsid w:val="00883BF2"/>
    <w:rsid w:val="00891F2B"/>
    <w:rsid w:val="008A0A0D"/>
    <w:rsid w:val="008A46C9"/>
    <w:rsid w:val="008A4CD6"/>
    <w:rsid w:val="008A4F1B"/>
    <w:rsid w:val="008B4EEE"/>
    <w:rsid w:val="008B674B"/>
    <w:rsid w:val="008C573D"/>
    <w:rsid w:val="008C60D2"/>
    <w:rsid w:val="008D1EDD"/>
    <w:rsid w:val="008D391D"/>
    <w:rsid w:val="008E355D"/>
    <w:rsid w:val="008E466B"/>
    <w:rsid w:val="008F21FD"/>
    <w:rsid w:val="008F6BC8"/>
    <w:rsid w:val="00903439"/>
    <w:rsid w:val="00905D30"/>
    <w:rsid w:val="00906ADE"/>
    <w:rsid w:val="00906D53"/>
    <w:rsid w:val="00910471"/>
    <w:rsid w:val="0091047A"/>
    <w:rsid w:val="00914174"/>
    <w:rsid w:val="0091793A"/>
    <w:rsid w:val="00917B9B"/>
    <w:rsid w:val="009200D3"/>
    <w:rsid w:val="00920482"/>
    <w:rsid w:val="00921675"/>
    <w:rsid w:val="0092189B"/>
    <w:rsid w:val="0092255A"/>
    <w:rsid w:val="00924093"/>
    <w:rsid w:val="009263AC"/>
    <w:rsid w:val="00930737"/>
    <w:rsid w:val="009351B4"/>
    <w:rsid w:val="009372BE"/>
    <w:rsid w:val="00940A2F"/>
    <w:rsid w:val="009455FD"/>
    <w:rsid w:val="009468DD"/>
    <w:rsid w:val="0095061D"/>
    <w:rsid w:val="00955B32"/>
    <w:rsid w:val="00956D50"/>
    <w:rsid w:val="00957E72"/>
    <w:rsid w:val="0096011F"/>
    <w:rsid w:val="00961863"/>
    <w:rsid w:val="00965FA5"/>
    <w:rsid w:val="00966830"/>
    <w:rsid w:val="00967C4C"/>
    <w:rsid w:val="00970AAC"/>
    <w:rsid w:val="00973598"/>
    <w:rsid w:val="009755DC"/>
    <w:rsid w:val="00980924"/>
    <w:rsid w:val="009815C2"/>
    <w:rsid w:val="00981619"/>
    <w:rsid w:val="00982970"/>
    <w:rsid w:val="00983F94"/>
    <w:rsid w:val="00986A02"/>
    <w:rsid w:val="00990069"/>
    <w:rsid w:val="00992C15"/>
    <w:rsid w:val="009A3B88"/>
    <w:rsid w:val="009A3DCE"/>
    <w:rsid w:val="009A6B6A"/>
    <w:rsid w:val="009B09EC"/>
    <w:rsid w:val="009B228F"/>
    <w:rsid w:val="009B6166"/>
    <w:rsid w:val="009B6420"/>
    <w:rsid w:val="009C3720"/>
    <w:rsid w:val="009C58EE"/>
    <w:rsid w:val="009C6650"/>
    <w:rsid w:val="009D539D"/>
    <w:rsid w:val="009D5739"/>
    <w:rsid w:val="009E03DE"/>
    <w:rsid w:val="009E3B83"/>
    <w:rsid w:val="009E41CE"/>
    <w:rsid w:val="009E5125"/>
    <w:rsid w:val="009F1BB5"/>
    <w:rsid w:val="009F3C41"/>
    <w:rsid w:val="009F5654"/>
    <w:rsid w:val="009F5FF6"/>
    <w:rsid w:val="009F6F63"/>
    <w:rsid w:val="00A0350B"/>
    <w:rsid w:val="00A13838"/>
    <w:rsid w:val="00A17038"/>
    <w:rsid w:val="00A21076"/>
    <w:rsid w:val="00A213AB"/>
    <w:rsid w:val="00A27382"/>
    <w:rsid w:val="00A355C3"/>
    <w:rsid w:val="00A461F8"/>
    <w:rsid w:val="00A477E9"/>
    <w:rsid w:val="00A50981"/>
    <w:rsid w:val="00A50F85"/>
    <w:rsid w:val="00A51AA7"/>
    <w:rsid w:val="00A61E3F"/>
    <w:rsid w:val="00A64CC4"/>
    <w:rsid w:val="00A71467"/>
    <w:rsid w:val="00A71F67"/>
    <w:rsid w:val="00A72FAE"/>
    <w:rsid w:val="00A7780E"/>
    <w:rsid w:val="00A80A96"/>
    <w:rsid w:val="00A8405F"/>
    <w:rsid w:val="00A86F82"/>
    <w:rsid w:val="00A90BB9"/>
    <w:rsid w:val="00A96FAA"/>
    <w:rsid w:val="00AA029C"/>
    <w:rsid w:val="00AA6FE3"/>
    <w:rsid w:val="00AB6B73"/>
    <w:rsid w:val="00AB712A"/>
    <w:rsid w:val="00AC0BC5"/>
    <w:rsid w:val="00AC1BC2"/>
    <w:rsid w:val="00AC66F0"/>
    <w:rsid w:val="00AD109F"/>
    <w:rsid w:val="00AD14AF"/>
    <w:rsid w:val="00AD477B"/>
    <w:rsid w:val="00AD715A"/>
    <w:rsid w:val="00AE1660"/>
    <w:rsid w:val="00AE629F"/>
    <w:rsid w:val="00AF0335"/>
    <w:rsid w:val="00AF6287"/>
    <w:rsid w:val="00AF68E6"/>
    <w:rsid w:val="00B0448F"/>
    <w:rsid w:val="00B045D2"/>
    <w:rsid w:val="00B04727"/>
    <w:rsid w:val="00B04B9C"/>
    <w:rsid w:val="00B05E41"/>
    <w:rsid w:val="00B07A10"/>
    <w:rsid w:val="00B12257"/>
    <w:rsid w:val="00B14731"/>
    <w:rsid w:val="00B17F3E"/>
    <w:rsid w:val="00B21644"/>
    <w:rsid w:val="00B24665"/>
    <w:rsid w:val="00B24ABB"/>
    <w:rsid w:val="00B334B7"/>
    <w:rsid w:val="00B33997"/>
    <w:rsid w:val="00B414D5"/>
    <w:rsid w:val="00B41FC9"/>
    <w:rsid w:val="00B44DB8"/>
    <w:rsid w:val="00B4560A"/>
    <w:rsid w:val="00B4680E"/>
    <w:rsid w:val="00B509C6"/>
    <w:rsid w:val="00B54A38"/>
    <w:rsid w:val="00B73A70"/>
    <w:rsid w:val="00B73F9B"/>
    <w:rsid w:val="00B76CAF"/>
    <w:rsid w:val="00B77014"/>
    <w:rsid w:val="00B83A85"/>
    <w:rsid w:val="00B84B66"/>
    <w:rsid w:val="00B8552D"/>
    <w:rsid w:val="00B9141A"/>
    <w:rsid w:val="00B91460"/>
    <w:rsid w:val="00B96E14"/>
    <w:rsid w:val="00BA39A9"/>
    <w:rsid w:val="00BB0E5F"/>
    <w:rsid w:val="00BB4572"/>
    <w:rsid w:val="00BB6ADD"/>
    <w:rsid w:val="00BC1DD6"/>
    <w:rsid w:val="00BC3A36"/>
    <w:rsid w:val="00BC4811"/>
    <w:rsid w:val="00BC5938"/>
    <w:rsid w:val="00BD111C"/>
    <w:rsid w:val="00BD3311"/>
    <w:rsid w:val="00BD3E45"/>
    <w:rsid w:val="00BD5E87"/>
    <w:rsid w:val="00BD756F"/>
    <w:rsid w:val="00BE0961"/>
    <w:rsid w:val="00BE0F6C"/>
    <w:rsid w:val="00BE1A5E"/>
    <w:rsid w:val="00BE42D9"/>
    <w:rsid w:val="00BE45E5"/>
    <w:rsid w:val="00BE6EA2"/>
    <w:rsid w:val="00BF52B5"/>
    <w:rsid w:val="00BF5E49"/>
    <w:rsid w:val="00BF718D"/>
    <w:rsid w:val="00BF78A9"/>
    <w:rsid w:val="00C0502A"/>
    <w:rsid w:val="00C05341"/>
    <w:rsid w:val="00C111F1"/>
    <w:rsid w:val="00C15A84"/>
    <w:rsid w:val="00C21EB9"/>
    <w:rsid w:val="00C26BD6"/>
    <w:rsid w:val="00C32C1E"/>
    <w:rsid w:val="00C351A4"/>
    <w:rsid w:val="00C3685C"/>
    <w:rsid w:val="00C42726"/>
    <w:rsid w:val="00C46E4D"/>
    <w:rsid w:val="00C528B7"/>
    <w:rsid w:val="00C56E41"/>
    <w:rsid w:val="00C56E79"/>
    <w:rsid w:val="00C57E00"/>
    <w:rsid w:val="00C60329"/>
    <w:rsid w:val="00C60E1E"/>
    <w:rsid w:val="00C631E8"/>
    <w:rsid w:val="00C65CDC"/>
    <w:rsid w:val="00C70684"/>
    <w:rsid w:val="00C70B2F"/>
    <w:rsid w:val="00C740F3"/>
    <w:rsid w:val="00C74F91"/>
    <w:rsid w:val="00C851C8"/>
    <w:rsid w:val="00C85ED3"/>
    <w:rsid w:val="00C8646F"/>
    <w:rsid w:val="00C93D2E"/>
    <w:rsid w:val="00C964EA"/>
    <w:rsid w:val="00CA014E"/>
    <w:rsid w:val="00CA1D6E"/>
    <w:rsid w:val="00CA273E"/>
    <w:rsid w:val="00CA5522"/>
    <w:rsid w:val="00CB3775"/>
    <w:rsid w:val="00CB3839"/>
    <w:rsid w:val="00CB515D"/>
    <w:rsid w:val="00CB7A21"/>
    <w:rsid w:val="00CC367A"/>
    <w:rsid w:val="00CD5A0C"/>
    <w:rsid w:val="00CD6DE1"/>
    <w:rsid w:val="00CE03D3"/>
    <w:rsid w:val="00CE0E8D"/>
    <w:rsid w:val="00CE2785"/>
    <w:rsid w:val="00CE37F9"/>
    <w:rsid w:val="00CF076D"/>
    <w:rsid w:val="00CF66B2"/>
    <w:rsid w:val="00CF7F11"/>
    <w:rsid w:val="00D02951"/>
    <w:rsid w:val="00D035B3"/>
    <w:rsid w:val="00D048E9"/>
    <w:rsid w:val="00D04CBC"/>
    <w:rsid w:val="00D17D09"/>
    <w:rsid w:val="00D20671"/>
    <w:rsid w:val="00D2134E"/>
    <w:rsid w:val="00D24331"/>
    <w:rsid w:val="00D24678"/>
    <w:rsid w:val="00D31324"/>
    <w:rsid w:val="00D32698"/>
    <w:rsid w:val="00D36D80"/>
    <w:rsid w:val="00D433C2"/>
    <w:rsid w:val="00D44BC2"/>
    <w:rsid w:val="00D45C0D"/>
    <w:rsid w:val="00D51BAF"/>
    <w:rsid w:val="00D526B0"/>
    <w:rsid w:val="00D5368C"/>
    <w:rsid w:val="00D538E0"/>
    <w:rsid w:val="00D6232D"/>
    <w:rsid w:val="00D63494"/>
    <w:rsid w:val="00D63591"/>
    <w:rsid w:val="00D64351"/>
    <w:rsid w:val="00D704AB"/>
    <w:rsid w:val="00D754E8"/>
    <w:rsid w:val="00D82166"/>
    <w:rsid w:val="00D93CFB"/>
    <w:rsid w:val="00D93DF1"/>
    <w:rsid w:val="00DA5E1A"/>
    <w:rsid w:val="00DA5EC2"/>
    <w:rsid w:val="00DB2E27"/>
    <w:rsid w:val="00DB4522"/>
    <w:rsid w:val="00DB532B"/>
    <w:rsid w:val="00DB6B92"/>
    <w:rsid w:val="00DC173E"/>
    <w:rsid w:val="00DD0D79"/>
    <w:rsid w:val="00DD42A7"/>
    <w:rsid w:val="00DD65E0"/>
    <w:rsid w:val="00DE211D"/>
    <w:rsid w:val="00DE55A3"/>
    <w:rsid w:val="00DE5854"/>
    <w:rsid w:val="00DE5CC1"/>
    <w:rsid w:val="00DF1DA3"/>
    <w:rsid w:val="00DF42EC"/>
    <w:rsid w:val="00DF6477"/>
    <w:rsid w:val="00E02EC8"/>
    <w:rsid w:val="00E06385"/>
    <w:rsid w:val="00E117F9"/>
    <w:rsid w:val="00E15D60"/>
    <w:rsid w:val="00E352AA"/>
    <w:rsid w:val="00E35949"/>
    <w:rsid w:val="00E36BE0"/>
    <w:rsid w:val="00E40959"/>
    <w:rsid w:val="00E415FB"/>
    <w:rsid w:val="00E50050"/>
    <w:rsid w:val="00E516F4"/>
    <w:rsid w:val="00E54240"/>
    <w:rsid w:val="00E54C3F"/>
    <w:rsid w:val="00E5665D"/>
    <w:rsid w:val="00E57901"/>
    <w:rsid w:val="00E622F7"/>
    <w:rsid w:val="00E62A2B"/>
    <w:rsid w:val="00E6651A"/>
    <w:rsid w:val="00E70FC8"/>
    <w:rsid w:val="00E72D3B"/>
    <w:rsid w:val="00E77C64"/>
    <w:rsid w:val="00E81B3B"/>
    <w:rsid w:val="00E834BA"/>
    <w:rsid w:val="00E835A0"/>
    <w:rsid w:val="00E902C3"/>
    <w:rsid w:val="00E938BB"/>
    <w:rsid w:val="00E94CFE"/>
    <w:rsid w:val="00EB0E8E"/>
    <w:rsid w:val="00EB3A3A"/>
    <w:rsid w:val="00EB5683"/>
    <w:rsid w:val="00EB72D4"/>
    <w:rsid w:val="00EB7436"/>
    <w:rsid w:val="00EC1C81"/>
    <w:rsid w:val="00EC2D14"/>
    <w:rsid w:val="00EC5291"/>
    <w:rsid w:val="00ED02EB"/>
    <w:rsid w:val="00ED626D"/>
    <w:rsid w:val="00EE12E3"/>
    <w:rsid w:val="00EE1FE3"/>
    <w:rsid w:val="00EE22A5"/>
    <w:rsid w:val="00EE7079"/>
    <w:rsid w:val="00EF001B"/>
    <w:rsid w:val="00EF76F8"/>
    <w:rsid w:val="00F02D2E"/>
    <w:rsid w:val="00F05AE7"/>
    <w:rsid w:val="00F12C43"/>
    <w:rsid w:val="00F17745"/>
    <w:rsid w:val="00F17E03"/>
    <w:rsid w:val="00F270D7"/>
    <w:rsid w:val="00F3090C"/>
    <w:rsid w:val="00F32669"/>
    <w:rsid w:val="00F33024"/>
    <w:rsid w:val="00F42938"/>
    <w:rsid w:val="00F51B55"/>
    <w:rsid w:val="00F52844"/>
    <w:rsid w:val="00F56B13"/>
    <w:rsid w:val="00F57143"/>
    <w:rsid w:val="00F611B1"/>
    <w:rsid w:val="00F637C0"/>
    <w:rsid w:val="00F6780C"/>
    <w:rsid w:val="00F83111"/>
    <w:rsid w:val="00F83575"/>
    <w:rsid w:val="00F90965"/>
    <w:rsid w:val="00F94065"/>
    <w:rsid w:val="00F97AA7"/>
    <w:rsid w:val="00FA2424"/>
    <w:rsid w:val="00FB61D0"/>
    <w:rsid w:val="00FB62EA"/>
    <w:rsid w:val="00FC3B73"/>
    <w:rsid w:val="00FC5473"/>
    <w:rsid w:val="00FD0853"/>
    <w:rsid w:val="00FD1D72"/>
    <w:rsid w:val="00FD638A"/>
    <w:rsid w:val="00FD71E8"/>
    <w:rsid w:val="00FE2A18"/>
    <w:rsid w:val="00FE770A"/>
    <w:rsid w:val="00FF6468"/>
    <w:rsid w:val="00FF6F03"/>
    <w:rsid w:val="00FF7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A2BEE"/>
  <w15:docId w15:val="{61A6D3BD-696F-434A-8508-E980BE96D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C4C"/>
    <w:rPr>
      <w:rFonts w:eastAsia="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401712"/>
    <w:rPr>
      <w:sz w:val="18"/>
      <w:szCs w:val="18"/>
    </w:rPr>
  </w:style>
  <w:style w:type="character" w:customStyle="1" w:styleId="BalloonTextChar">
    <w:name w:val="Balloon Text Char"/>
    <w:basedOn w:val="DefaultParagraphFont"/>
    <w:link w:val="BalloonText"/>
    <w:uiPriority w:val="99"/>
    <w:semiHidden/>
    <w:rsid w:val="00401712"/>
    <w:rPr>
      <w:sz w:val="18"/>
      <w:szCs w:val="18"/>
    </w:rPr>
  </w:style>
  <w:style w:type="paragraph" w:styleId="ListParagraph">
    <w:name w:val="List Paragraph"/>
    <w:basedOn w:val="Normal"/>
    <w:uiPriority w:val="34"/>
    <w:qFormat/>
    <w:rsid w:val="002237FA"/>
    <w:pPr>
      <w:ind w:left="720"/>
      <w:contextualSpacing/>
    </w:pPr>
  </w:style>
  <w:style w:type="paragraph" w:styleId="FootnoteText">
    <w:name w:val="footnote text"/>
    <w:basedOn w:val="Normal"/>
    <w:link w:val="FootnoteTextChar"/>
    <w:uiPriority w:val="99"/>
    <w:semiHidden/>
    <w:unhideWhenUsed/>
    <w:rsid w:val="00A8405F"/>
    <w:rPr>
      <w:sz w:val="20"/>
      <w:szCs w:val="20"/>
    </w:rPr>
  </w:style>
  <w:style w:type="character" w:customStyle="1" w:styleId="FootnoteTextChar">
    <w:name w:val="Footnote Text Char"/>
    <w:basedOn w:val="DefaultParagraphFont"/>
    <w:link w:val="FootnoteText"/>
    <w:uiPriority w:val="99"/>
    <w:semiHidden/>
    <w:rsid w:val="00A8405F"/>
    <w:rPr>
      <w:sz w:val="20"/>
      <w:szCs w:val="20"/>
    </w:rPr>
  </w:style>
  <w:style w:type="character" w:styleId="FootnoteReference">
    <w:name w:val="footnote reference"/>
    <w:basedOn w:val="DefaultParagraphFont"/>
    <w:uiPriority w:val="99"/>
    <w:semiHidden/>
    <w:unhideWhenUsed/>
    <w:rsid w:val="00A8405F"/>
    <w:rPr>
      <w:vertAlign w:val="superscript"/>
    </w:rPr>
  </w:style>
  <w:style w:type="paragraph" w:styleId="Header">
    <w:name w:val="header"/>
    <w:basedOn w:val="Normal"/>
    <w:link w:val="HeaderChar"/>
    <w:uiPriority w:val="99"/>
    <w:unhideWhenUsed/>
    <w:rsid w:val="00216927"/>
    <w:pPr>
      <w:tabs>
        <w:tab w:val="center" w:pos="4680"/>
        <w:tab w:val="right" w:pos="9360"/>
      </w:tabs>
    </w:pPr>
  </w:style>
  <w:style w:type="character" w:customStyle="1" w:styleId="HeaderChar">
    <w:name w:val="Header Char"/>
    <w:basedOn w:val="DefaultParagraphFont"/>
    <w:link w:val="Header"/>
    <w:uiPriority w:val="99"/>
    <w:rsid w:val="00216927"/>
  </w:style>
  <w:style w:type="paragraph" w:styleId="Footer">
    <w:name w:val="footer"/>
    <w:basedOn w:val="Normal"/>
    <w:link w:val="FooterChar"/>
    <w:uiPriority w:val="99"/>
    <w:unhideWhenUsed/>
    <w:rsid w:val="00216927"/>
    <w:pPr>
      <w:tabs>
        <w:tab w:val="center" w:pos="4680"/>
        <w:tab w:val="right" w:pos="9360"/>
      </w:tabs>
    </w:pPr>
  </w:style>
  <w:style w:type="character" w:customStyle="1" w:styleId="FooterChar">
    <w:name w:val="Footer Char"/>
    <w:basedOn w:val="DefaultParagraphFont"/>
    <w:link w:val="Footer"/>
    <w:uiPriority w:val="99"/>
    <w:rsid w:val="00216927"/>
  </w:style>
  <w:style w:type="paragraph" w:styleId="CommentText">
    <w:name w:val="annotation text"/>
    <w:basedOn w:val="Normal"/>
    <w:link w:val="CommentTextChar"/>
    <w:uiPriority w:val="99"/>
    <w:unhideWhenUsed/>
    <w:rsid w:val="007433A3"/>
    <w:rPr>
      <w:sz w:val="20"/>
      <w:szCs w:val="20"/>
    </w:rPr>
  </w:style>
  <w:style w:type="character" w:customStyle="1" w:styleId="CommentTextChar">
    <w:name w:val="Comment Text Char"/>
    <w:basedOn w:val="DefaultParagraphFont"/>
    <w:link w:val="CommentText"/>
    <w:uiPriority w:val="99"/>
    <w:rsid w:val="007433A3"/>
    <w:rPr>
      <w:sz w:val="20"/>
      <w:szCs w:val="20"/>
    </w:rPr>
  </w:style>
  <w:style w:type="character" w:styleId="Hyperlink">
    <w:name w:val="Hyperlink"/>
    <w:basedOn w:val="DefaultParagraphFont"/>
    <w:uiPriority w:val="99"/>
    <w:unhideWhenUsed/>
    <w:rsid w:val="00BF718D"/>
    <w:rPr>
      <w:color w:val="0000FF"/>
      <w:u w:val="single"/>
    </w:rPr>
  </w:style>
  <w:style w:type="paragraph" w:styleId="NormalWeb">
    <w:name w:val="Normal (Web)"/>
    <w:basedOn w:val="Normal"/>
    <w:uiPriority w:val="99"/>
    <w:unhideWhenUsed/>
    <w:rsid w:val="00FC3B73"/>
    <w:pPr>
      <w:spacing w:before="100" w:beforeAutospacing="1" w:after="100" w:afterAutospacing="1"/>
    </w:pPr>
  </w:style>
  <w:style w:type="character" w:styleId="PageNumber">
    <w:name w:val="page number"/>
    <w:basedOn w:val="DefaultParagraphFont"/>
    <w:uiPriority w:val="99"/>
    <w:semiHidden/>
    <w:unhideWhenUsed/>
    <w:rsid w:val="009C58EE"/>
  </w:style>
  <w:style w:type="table" w:styleId="TableGrid">
    <w:name w:val="Table Grid"/>
    <w:basedOn w:val="TableNormal"/>
    <w:uiPriority w:val="39"/>
    <w:rsid w:val="00BA3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8594">
      <w:bodyDiv w:val="1"/>
      <w:marLeft w:val="0"/>
      <w:marRight w:val="0"/>
      <w:marTop w:val="0"/>
      <w:marBottom w:val="0"/>
      <w:divBdr>
        <w:top w:val="none" w:sz="0" w:space="0" w:color="auto"/>
        <w:left w:val="none" w:sz="0" w:space="0" w:color="auto"/>
        <w:bottom w:val="none" w:sz="0" w:space="0" w:color="auto"/>
        <w:right w:val="none" w:sz="0" w:space="0" w:color="auto"/>
      </w:divBdr>
    </w:div>
    <w:div w:id="188226152">
      <w:bodyDiv w:val="1"/>
      <w:marLeft w:val="0"/>
      <w:marRight w:val="0"/>
      <w:marTop w:val="0"/>
      <w:marBottom w:val="0"/>
      <w:divBdr>
        <w:top w:val="none" w:sz="0" w:space="0" w:color="auto"/>
        <w:left w:val="none" w:sz="0" w:space="0" w:color="auto"/>
        <w:bottom w:val="none" w:sz="0" w:space="0" w:color="auto"/>
        <w:right w:val="none" w:sz="0" w:space="0" w:color="auto"/>
      </w:divBdr>
    </w:div>
    <w:div w:id="371542389">
      <w:bodyDiv w:val="1"/>
      <w:marLeft w:val="0"/>
      <w:marRight w:val="0"/>
      <w:marTop w:val="0"/>
      <w:marBottom w:val="0"/>
      <w:divBdr>
        <w:top w:val="none" w:sz="0" w:space="0" w:color="auto"/>
        <w:left w:val="none" w:sz="0" w:space="0" w:color="auto"/>
        <w:bottom w:val="none" w:sz="0" w:space="0" w:color="auto"/>
        <w:right w:val="none" w:sz="0" w:space="0" w:color="auto"/>
      </w:divBdr>
    </w:div>
    <w:div w:id="474765350">
      <w:bodyDiv w:val="1"/>
      <w:marLeft w:val="0"/>
      <w:marRight w:val="0"/>
      <w:marTop w:val="0"/>
      <w:marBottom w:val="0"/>
      <w:divBdr>
        <w:top w:val="none" w:sz="0" w:space="0" w:color="auto"/>
        <w:left w:val="none" w:sz="0" w:space="0" w:color="auto"/>
        <w:bottom w:val="none" w:sz="0" w:space="0" w:color="auto"/>
        <w:right w:val="none" w:sz="0" w:space="0" w:color="auto"/>
      </w:divBdr>
    </w:div>
    <w:div w:id="753670306">
      <w:bodyDiv w:val="1"/>
      <w:marLeft w:val="0"/>
      <w:marRight w:val="0"/>
      <w:marTop w:val="0"/>
      <w:marBottom w:val="0"/>
      <w:divBdr>
        <w:top w:val="none" w:sz="0" w:space="0" w:color="auto"/>
        <w:left w:val="none" w:sz="0" w:space="0" w:color="auto"/>
        <w:bottom w:val="none" w:sz="0" w:space="0" w:color="auto"/>
        <w:right w:val="none" w:sz="0" w:space="0" w:color="auto"/>
      </w:divBdr>
    </w:div>
    <w:div w:id="816919112">
      <w:bodyDiv w:val="1"/>
      <w:marLeft w:val="0"/>
      <w:marRight w:val="0"/>
      <w:marTop w:val="0"/>
      <w:marBottom w:val="0"/>
      <w:divBdr>
        <w:top w:val="none" w:sz="0" w:space="0" w:color="auto"/>
        <w:left w:val="none" w:sz="0" w:space="0" w:color="auto"/>
        <w:bottom w:val="none" w:sz="0" w:space="0" w:color="auto"/>
        <w:right w:val="none" w:sz="0" w:space="0" w:color="auto"/>
      </w:divBdr>
    </w:div>
    <w:div w:id="1246525701">
      <w:bodyDiv w:val="1"/>
      <w:marLeft w:val="0"/>
      <w:marRight w:val="0"/>
      <w:marTop w:val="0"/>
      <w:marBottom w:val="0"/>
      <w:divBdr>
        <w:top w:val="none" w:sz="0" w:space="0" w:color="auto"/>
        <w:left w:val="none" w:sz="0" w:space="0" w:color="auto"/>
        <w:bottom w:val="none" w:sz="0" w:space="0" w:color="auto"/>
        <w:right w:val="none" w:sz="0" w:space="0" w:color="auto"/>
      </w:divBdr>
    </w:div>
    <w:div w:id="1324896531">
      <w:bodyDiv w:val="1"/>
      <w:marLeft w:val="0"/>
      <w:marRight w:val="0"/>
      <w:marTop w:val="0"/>
      <w:marBottom w:val="0"/>
      <w:divBdr>
        <w:top w:val="none" w:sz="0" w:space="0" w:color="auto"/>
        <w:left w:val="none" w:sz="0" w:space="0" w:color="auto"/>
        <w:bottom w:val="none" w:sz="0" w:space="0" w:color="auto"/>
        <w:right w:val="none" w:sz="0" w:space="0" w:color="auto"/>
      </w:divBdr>
    </w:div>
    <w:div w:id="1390807677">
      <w:bodyDiv w:val="1"/>
      <w:marLeft w:val="0"/>
      <w:marRight w:val="0"/>
      <w:marTop w:val="0"/>
      <w:marBottom w:val="0"/>
      <w:divBdr>
        <w:top w:val="none" w:sz="0" w:space="0" w:color="auto"/>
        <w:left w:val="none" w:sz="0" w:space="0" w:color="auto"/>
        <w:bottom w:val="none" w:sz="0" w:space="0" w:color="auto"/>
        <w:right w:val="none" w:sz="0" w:space="0" w:color="auto"/>
      </w:divBdr>
    </w:div>
    <w:div w:id="1465074001">
      <w:bodyDiv w:val="1"/>
      <w:marLeft w:val="0"/>
      <w:marRight w:val="0"/>
      <w:marTop w:val="0"/>
      <w:marBottom w:val="0"/>
      <w:divBdr>
        <w:top w:val="none" w:sz="0" w:space="0" w:color="auto"/>
        <w:left w:val="none" w:sz="0" w:space="0" w:color="auto"/>
        <w:bottom w:val="none" w:sz="0" w:space="0" w:color="auto"/>
        <w:right w:val="none" w:sz="0" w:space="0" w:color="auto"/>
      </w:divBdr>
    </w:div>
    <w:div w:id="1466049690">
      <w:bodyDiv w:val="1"/>
      <w:marLeft w:val="0"/>
      <w:marRight w:val="0"/>
      <w:marTop w:val="0"/>
      <w:marBottom w:val="0"/>
      <w:divBdr>
        <w:top w:val="none" w:sz="0" w:space="0" w:color="auto"/>
        <w:left w:val="none" w:sz="0" w:space="0" w:color="auto"/>
        <w:bottom w:val="none" w:sz="0" w:space="0" w:color="auto"/>
        <w:right w:val="none" w:sz="0" w:space="0" w:color="auto"/>
      </w:divBdr>
    </w:div>
    <w:div w:id="1528375217">
      <w:bodyDiv w:val="1"/>
      <w:marLeft w:val="0"/>
      <w:marRight w:val="0"/>
      <w:marTop w:val="0"/>
      <w:marBottom w:val="0"/>
      <w:divBdr>
        <w:top w:val="none" w:sz="0" w:space="0" w:color="auto"/>
        <w:left w:val="none" w:sz="0" w:space="0" w:color="auto"/>
        <w:bottom w:val="none" w:sz="0" w:space="0" w:color="auto"/>
        <w:right w:val="none" w:sz="0" w:space="0" w:color="auto"/>
      </w:divBdr>
    </w:div>
    <w:div w:id="1645234099">
      <w:bodyDiv w:val="1"/>
      <w:marLeft w:val="0"/>
      <w:marRight w:val="0"/>
      <w:marTop w:val="0"/>
      <w:marBottom w:val="0"/>
      <w:divBdr>
        <w:top w:val="none" w:sz="0" w:space="0" w:color="auto"/>
        <w:left w:val="none" w:sz="0" w:space="0" w:color="auto"/>
        <w:bottom w:val="none" w:sz="0" w:space="0" w:color="auto"/>
        <w:right w:val="none" w:sz="0" w:space="0" w:color="auto"/>
      </w:divBdr>
    </w:div>
    <w:div w:id="1709530253">
      <w:bodyDiv w:val="1"/>
      <w:marLeft w:val="0"/>
      <w:marRight w:val="0"/>
      <w:marTop w:val="0"/>
      <w:marBottom w:val="0"/>
      <w:divBdr>
        <w:top w:val="none" w:sz="0" w:space="0" w:color="auto"/>
        <w:left w:val="none" w:sz="0" w:space="0" w:color="auto"/>
        <w:bottom w:val="none" w:sz="0" w:space="0" w:color="auto"/>
        <w:right w:val="none" w:sz="0" w:space="0" w:color="auto"/>
      </w:divBdr>
    </w:div>
    <w:div w:id="1791894948">
      <w:bodyDiv w:val="1"/>
      <w:marLeft w:val="0"/>
      <w:marRight w:val="0"/>
      <w:marTop w:val="0"/>
      <w:marBottom w:val="0"/>
      <w:divBdr>
        <w:top w:val="none" w:sz="0" w:space="0" w:color="auto"/>
        <w:left w:val="none" w:sz="0" w:space="0" w:color="auto"/>
        <w:bottom w:val="none" w:sz="0" w:space="0" w:color="auto"/>
        <w:right w:val="none" w:sz="0" w:space="0" w:color="auto"/>
      </w:divBdr>
    </w:div>
    <w:div w:id="1842350280">
      <w:bodyDiv w:val="1"/>
      <w:marLeft w:val="0"/>
      <w:marRight w:val="0"/>
      <w:marTop w:val="0"/>
      <w:marBottom w:val="0"/>
      <w:divBdr>
        <w:top w:val="none" w:sz="0" w:space="0" w:color="auto"/>
        <w:left w:val="none" w:sz="0" w:space="0" w:color="auto"/>
        <w:bottom w:val="none" w:sz="0" w:space="0" w:color="auto"/>
        <w:right w:val="none" w:sz="0" w:space="0" w:color="auto"/>
      </w:divBdr>
    </w:div>
    <w:div w:id="1874536922">
      <w:bodyDiv w:val="1"/>
      <w:marLeft w:val="0"/>
      <w:marRight w:val="0"/>
      <w:marTop w:val="0"/>
      <w:marBottom w:val="0"/>
      <w:divBdr>
        <w:top w:val="none" w:sz="0" w:space="0" w:color="auto"/>
        <w:left w:val="none" w:sz="0" w:space="0" w:color="auto"/>
        <w:bottom w:val="none" w:sz="0" w:space="0" w:color="auto"/>
        <w:right w:val="none" w:sz="0" w:space="0" w:color="auto"/>
      </w:divBdr>
    </w:div>
    <w:div w:id="2092115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forbes.com/sites/panosmourdoukoutas/2018/11/24/debt-not-trade-war-is-chinas-biggest-proble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947</TotalTime>
  <Pages>22</Pages>
  <Words>6098</Words>
  <Characters>34765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Amber Wang</cp:lastModifiedBy>
  <cp:revision>1362</cp:revision>
  <dcterms:created xsi:type="dcterms:W3CDTF">2019-05-04T12:41:00Z</dcterms:created>
  <dcterms:modified xsi:type="dcterms:W3CDTF">2019-05-10T20:51:00Z</dcterms:modified>
</cp:coreProperties>
</file>