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4B4" w:rsidRPr="00C71655" w:rsidRDefault="00BE14B4" w:rsidP="00BE14B4">
      <w:pPr>
        <w:spacing w:line="480" w:lineRule="auto"/>
        <w:jc w:val="center"/>
        <w:rPr>
          <w:sz w:val="40"/>
        </w:rPr>
      </w:pPr>
      <w:bookmarkStart w:id="0" w:name="OLE_LINK1"/>
      <w:bookmarkStart w:id="1" w:name="OLE_LINK2"/>
      <w:r w:rsidRPr="00C71655">
        <w:rPr>
          <w:sz w:val="40"/>
        </w:rPr>
        <w:t>Analysis of High Frequency VIX and its Predictive Power in the Chinese Market</w:t>
      </w:r>
    </w:p>
    <w:p w:rsidR="00BE14B4" w:rsidRPr="00C71655" w:rsidRDefault="00BE14B4" w:rsidP="00BE14B4">
      <w:pPr>
        <w:spacing w:line="480" w:lineRule="auto"/>
        <w:jc w:val="center"/>
        <w:rPr>
          <w:sz w:val="40"/>
        </w:rPr>
      </w:pPr>
    </w:p>
    <w:p w:rsidR="00BE14B4" w:rsidRPr="00C71655" w:rsidRDefault="00BE14B4" w:rsidP="00BE14B4">
      <w:pPr>
        <w:jc w:val="center"/>
        <w:rPr>
          <w:sz w:val="40"/>
        </w:rPr>
      </w:pPr>
      <w:r w:rsidRPr="00C71655">
        <w:rPr>
          <w:sz w:val="40"/>
        </w:rPr>
        <w:t>by</w:t>
      </w:r>
    </w:p>
    <w:p w:rsidR="00BE14B4" w:rsidRPr="00C71655" w:rsidRDefault="00BE14B4" w:rsidP="00BE14B4">
      <w:pPr>
        <w:jc w:val="center"/>
        <w:rPr>
          <w:sz w:val="40"/>
        </w:rPr>
      </w:pPr>
    </w:p>
    <w:p w:rsidR="00BE14B4" w:rsidRPr="00C71655" w:rsidRDefault="00BE14B4" w:rsidP="00BE14B4">
      <w:pPr>
        <w:jc w:val="center"/>
        <w:rPr>
          <w:sz w:val="40"/>
        </w:rPr>
      </w:pPr>
    </w:p>
    <w:p w:rsidR="00BE14B4" w:rsidRPr="00C71655" w:rsidRDefault="00BE14B4" w:rsidP="00BE14B4">
      <w:pPr>
        <w:pStyle w:val="Heading1"/>
        <w:rPr>
          <w:sz w:val="40"/>
        </w:rPr>
      </w:pPr>
      <w:r w:rsidRPr="00C71655">
        <w:rPr>
          <w:sz w:val="40"/>
        </w:rPr>
        <w:t>Yue Yu</w:t>
      </w:r>
    </w:p>
    <w:p w:rsidR="00BE14B4" w:rsidRPr="00C71655" w:rsidRDefault="00BE14B4" w:rsidP="00BE14B4">
      <w:pPr>
        <w:jc w:val="center"/>
        <w:rPr>
          <w:sz w:val="32"/>
        </w:rPr>
      </w:pPr>
    </w:p>
    <w:p w:rsidR="00BE14B4" w:rsidRPr="00C71655" w:rsidRDefault="00BE14B4" w:rsidP="00BE14B4">
      <w:pPr>
        <w:jc w:val="center"/>
        <w:rPr>
          <w:sz w:val="32"/>
        </w:rPr>
      </w:pPr>
    </w:p>
    <w:p w:rsidR="00BE14B4" w:rsidRPr="00C71655" w:rsidRDefault="00BE14B4" w:rsidP="00BE14B4">
      <w:pPr>
        <w:jc w:val="center"/>
        <w:rPr>
          <w:sz w:val="32"/>
        </w:rPr>
      </w:pPr>
    </w:p>
    <w:p w:rsidR="00BE14B4" w:rsidRPr="00C71655" w:rsidRDefault="00BE14B4" w:rsidP="00BE14B4">
      <w:pPr>
        <w:jc w:val="center"/>
        <w:rPr>
          <w:sz w:val="32"/>
        </w:rPr>
      </w:pPr>
      <w:r w:rsidRPr="00C71655">
        <w:rPr>
          <w:sz w:val="32"/>
        </w:rPr>
        <w:t>An honors thesis submitted in partial fulfillment</w:t>
      </w:r>
    </w:p>
    <w:p w:rsidR="00BE14B4" w:rsidRPr="00C71655" w:rsidRDefault="00BE14B4" w:rsidP="00BE14B4">
      <w:pPr>
        <w:jc w:val="center"/>
        <w:rPr>
          <w:sz w:val="32"/>
        </w:rPr>
      </w:pPr>
    </w:p>
    <w:p w:rsidR="00BE14B4" w:rsidRPr="00C71655" w:rsidRDefault="00BE14B4" w:rsidP="00BE14B4">
      <w:pPr>
        <w:jc w:val="center"/>
        <w:rPr>
          <w:sz w:val="32"/>
        </w:rPr>
      </w:pPr>
      <w:r w:rsidRPr="00C71655">
        <w:rPr>
          <w:sz w:val="32"/>
        </w:rPr>
        <w:t>of the requirements for the degree of</w:t>
      </w:r>
    </w:p>
    <w:p w:rsidR="00BE14B4" w:rsidRPr="00C71655" w:rsidRDefault="00BE14B4" w:rsidP="00BE14B4">
      <w:pPr>
        <w:jc w:val="center"/>
        <w:rPr>
          <w:sz w:val="32"/>
        </w:rPr>
      </w:pPr>
    </w:p>
    <w:p w:rsidR="00BE14B4" w:rsidRPr="00C71655" w:rsidRDefault="00BE14B4" w:rsidP="00BE14B4">
      <w:pPr>
        <w:jc w:val="center"/>
        <w:rPr>
          <w:sz w:val="32"/>
        </w:rPr>
      </w:pPr>
      <w:r w:rsidRPr="00C71655">
        <w:rPr>
          <w:sz w:val="32"/>
        </w:rPr>
        <w:t>Bachelor of Science</w:t>
      </w:r>
    </w:p>
    <w:p w:rsidR="00BE14B4" w:rsidRPr="00C71655" w:rsidRDefault="00BE14B4" w:rsidP="00BE14B4">
      <w:pPr>
        <w:jc w:val="center"/>
        <w:rPr>
          <w:sz w:val="32"/>
        </w:rPr>
      </w:pPr>
    </w:p>
    <w:p w:rsidR="00BE14B4" w:rsidRPr="00C71655" w:rsidRDefault="00BE14B4" w:rsidP="00BE14B4">
      <w:pPr>
        <w:jc w:val="center"/>
        <w:rPr>
          <w:sz w:val="32"/>
        </w:rPr>
      </w:pPr>
      <w:r w:rsidRPr="00C71655">
        <w:rPr>
          <w:sz w:val="32"/>
        </w:rPr>
        <w:t>Business and Economics Honors Program</w:t>
      </w:r>
    </w:p>
    <w:p w:rsidR="00BE14B4" w:rsidRPr="00C71655" w:rsidRDefault="00BE14B4" w:rsidP="00BE14B4">
      <w:pPr>
        <w:jc w:val="center"/>
        <w:rPr>
          <w:sz w:val="32"/>
        </w:rPr>
      </w:pPr>
    </w:p>
    <w:p w:rsidR="00BE14B4" w:rsidRPr="00C71655" w:rsidRDefault="00BE14B4" w:rsidP="00BE14B4">
      <w:pPr>
        <w:jc w:val="center"/>
        <w:rPr>
          <w:sz w:val="32"/>
        </w:rPr>
      </w:pPr>
      <w:r w:rsidRPr="00C71655">
        <w:rPr>
          <w:sz w:val="32"/>
        </w:rPr>
        <w:t>NYU Shanghai</w:t>
      </w:r>
    </w:p>
    <w:p w:rsidR="00BE14B4" w:rsidRPr="00C71655" w:rsidRDefault="00BE14B4" w:rsidP="00BE14B4">
      <w:pPr>
        <w:jc w:val="center"/>
        <w:rPr>
          <w:sz w:val="32"/>
        </w:rPr>
      </w:pPr>
    </w:p>
    <w:p w:rsidR="00BE14B4" w:rsidRPr="00C71655" w:rsidRDefault="00BE14B4" w:rsidP="00BE14B4">
      <w:pPr>
        <w:jc w:val="center"/>
        <w:rPr>
          <w:sz w:val="32"/>
        </w:rPr>
      </w:pPr>
      <w:r w:rsidRPr="00C71655">
        <w:rPr>
          <w:sz w:val="32"/>
        </w:rPr>
        <w:t>May 2020</w:t>
      </w:r>
    </w:p>
    <w:p w:rsidR="00BE14B4" w:rsidRPr="00C71655" w:rsidRDefault="00BE14B4" w:rsidP="00BE14B4">
      <w:pPr>
        <w:jc w:val="center"/>
        <w:rPr>
          <w:sz w:val="32"/>
        </w:rPr>
      </w:pPr>
    </w:p>
    <w:p w:rsidR="00BE14B4" w:rsidRPr="00C71655" w:rsidRDefault="00BE14B4" w:rsidP="00BE14B4">
      <w:pPr>
        <w:rPr>
          <w:sz w:val="32"/>
        </w:rPr>
      </w:pPr>
      <w:r w:rsidRPr="00C71655">
        <w:rPr>
          <w:sz w:val="32"/>
        </w:rPr>
        <w:tab/>
      </w:r>
      <w:r w:rsidRPr="00C71655">
        <w:rPr>
          <w:sz w:val="32"/>
        </w:rPr>
        <w:tab/>
      </w:r>
      <w:r w:rsidRPr="00C71655">
        <w:rPr>
          <w:sz w:val="32"/>
        </w:rPr>
        <w:tab/>
      </w:r>
      <w:r w:rsidRPr="00C71655">
        <w:rPr>
          <w:sz w:val="32"/>
        </w:rPr>
        <w:tab/>
      </w:r>
      <w:r w:rsidRPr="00C71655">
        <w:rPr>
          <w:sz w:val="32"/>
        </w:rPr>
        <w:tab/>
      </w:r>
      <w:r w:rsidRPr="00C71655">
        <w:rPr>
          <w:sz w:val="32"/>
        </w:rPr>
        <w:tab/>
      </w:r>
      <w:r w:rsidRPr="00C71655">
        <w:rPr>
          <w:sz w:val="32"/>
        </w:rPr>
        <w:tab/>
      </w:r>
    </w:p>
    <w:p w:rsidR="00BE14B4" w:rsidRPr="00C71655" w:rsidRDefault="00BE14B4" w:rsidP="00BE14B4">
      <w:pPr>
        <w:rPr>
          <w:sz w:val="32"/>
        </w:rPr>
      </w:pPr>
      <w:r w:rsidRPr="00C71655">
        <w:rPr>
          <w:sz w:val="32"/>
        </w:rPr>
        <w:t>Professor Marti G. Subrahmanyam</w:t>
      </w:r>
      <w:r w:rsidRPr="00C71655">
        <w:rPr>
          <w:sz w:val="32"/>
        </w:rPr>
        <w:tab/>
        <w:t>Professor Menachem Brenner</w:t>
      </w:r>
    </w:p>
    <w:p w:rsidR="00BE14B4" w:rsidRPr="00C71655" w:rsidRDefault="00BE14B4" w:rsidP="00BE14B4">
      <w:pPr>
        <w:rPr>
          <w:sz w:val="32"/>
        </w:rPr>
      </w:pPr>
      <w:r w:rsidRPr="00C71655">
        <w:rPr>
          <w:sz w:val="32"/>
        </w:rPr>
        <w:t>Professor Christina Wang</w:t>
      </w:r>
    </w:p>
    <w:p w:rsidR="00BE14B4" w:rsidRPr="00C71655" w:rsidRDefault="00BE14B4" w:rsidP="00BE14B4">
      <w:pPr>
        <w:rPr>
          <w:sz w:val="32"/>
        </w:rPr>
      </w:pPr>
      <w:r w:rsidRPr="00C71655">
        <w:rPr>
          <w:sz w:val="32"/>
        </w:rPr>
        <w:t>Professor Jens Leth Hougaard</w:t>
      </w:r>
    </w:p>
    <w:p w:rsidR="00BE14B4" w:rsidRPr="00C71655" w:rsidRDefault="00BE14B4" w:rsidP="00BE14B4">
      <w:pPr>
        <w:rPr>
          <w:sz w:val="32"/>
        </w:rPr>
      </w:pPr>
    </w:p>
    <w:p w:rsidR="00BE14B4" w:rsidRPr="00C71655" w:rsidRDefault="00BE14B4" w:rsidP="00BE14B4">
      <w:pPr>
        <w:rPr>
          <w:sz w:val="32"/>
        </w:rPr>
      </w:pPr>
      <w:r w:rsidRPr="00C71655">
        <w:rPr>
          <w:sz w:val="32"/>
        </w:rPr>
        <w:t>Faculty Advisers</w:t>
      </w:r>
      <w:r w:rsidRPr="00C71655">
        <w:rPr>
          <w:sz w:val="32"/>
        </w:rPr>
        <w:tab/>
      </w:r>
      <w:r w:rsidRPr="00C71655">
        <w:rPr>
          <w:sz w:val="32"/>
        </w:rPr>
        <w:tab/>
      </w:r>
      <w:r w:rsidRPr="00C71655">
        <w:rPr>
          <w:sz w:val="32"/>
        </w:rPr>
        <w:tab/>
      </w:r>
      <w:r w:rsidRPr="00C71655">
        <w:rPr>
          <w:sz w:val="32"/>
        </w:rPr>
        <w:tab/>
        <w:t>Thesis Adviser</w:t>
      </w:r>
      <w:r w:rsidRPr="00C71655">
        <w:rPr>
          <w:sz w:val="32"/>
        </w:rPr>
        <w:tab/>
      </w:r>
    </w:p>
    <w:p w:rsidR="00BE14B4" w:rsidRPr="00C71655" w:rsidRDefault="00BE14B4">
      <w:pPr>
        <w:rPr>
          <w:sz w:val="32"/>
        </w:rPr>
      </w:pPr>
      <w:r w:rsidRPr="00C71655">
        <w:rPr>
          <w:sz w:val="32"/>
        </w:rPr>
        <w:br w:type="page"/>
      </w:r>
    </w:p>
    <w:p w:rsidR="0086714B" w:rsidRPr="00C71655" w:rsidRDefault="0086714B" w:rsidP="00BE14B4"/>
    <w:p w:rsidR="00A95171" w:rsidRPr="00C75632" w:rsidRDefault="0086714B" w:rsidP="00C75632">
      <w:pPr>
        <w:spacing w:line="480" w:lineRule="auto"/>
        <w:jc w:val="center"/>
        <w:rPr>
          <w:b/>
          <w:sz w:val="32"/>
        </w:rPr>
      </w:pPr>
      <w:r w:rsidRPr="00C75632">
        <w:rPr>
          <w:b/>
          <w:sz w:val="32"/>
        </w:rPr>
        <w:t>Abstract</w:t>
      </w:r>
    </w:p>
    <w:p w:rsidR="00571E11" w:rsidRPr="00C71655" w:rsidRDefault="00A95171" w:rsidP="001845B9">
      <w:pPr>
        <w:spacing w:line="480" w:lineRule="auto"/>
      </w:pPr>
      <w:r w:rsidRPr="00C71655">
        <w:tab/>
        <w:t xml:space="preserve">This paper studies the </w:t>
      </w:r>
      <w:r w:rsidR="0008612B" w:rsidRPr="00C71655">
        <w:t xml:space="preserve">performance of </w:t>
      </w:r>
      <w:r w:rsidRPr="00C71655">
        <w:t>high frequency IVIX in the Chinese market</w:t>
      </w:r>
      <w:r w:rsidR="0008612B" w:rsidRPr="00C71655">
        <w:t xml:space="preserve">. By analyzing the relationship with its underlying SSE 50 ETF return, this paper seeks to test whether we could observe the strong negative asymmetric </w:t>
      </w:r>
      <w:r w:rsidR="00CF0A91" w:rsidRPr="00C71655">
        <w:t>relation and lagged effect</w:t>
      </w:r>
      <w:r w:rsidR="0008612B" w:rsidRPr="00C71655">
        <w:t xml:space="preserve"> </w:t>
      </w:r>
      <w:r w:rsidR="00FD11AF">
        <w:t>at intraday level in the Chinese market</w:t>
      </w:r>
      <w:r w:rsidR="0008612B" w:rsidRPr="00C71655">
        <w:t xml:space="preserve">. </w:t>
      </w:r>
      <w:r w:rsidR="00FD11AF">
        <w:t>Regarding the result, we discover the weak negative correlation and no lagged effect comparing to the US market. Possible explanations</w:t>
      </w:r>
      <w:r w:rsidR="00FD11AF" w:rsidRPr="00FD11AF">
        <w:t xml:space="preserve"> </w:t>
      </w:r>
      <w:r w:rsidR="00FD11AF" w:rsidRPr="00C71655">
        <w:t xml:space="preserve">for the </w:t>
      </w:r>
      <w:r w:rsidR="00721F52">
        <w:t xml:space="preserve">above </w:t>
      </w:r>
      <w:r w:rsidR="00FD11AF" w:rsidRPr="00C71655">
        <w:t>unique phenomen</w:t>
      </w:r>
      <w:r w:rsidR="00FD11AF">
        <w:t>a</w:t>
      </w:r>
      <w:r w:rsidR="00FD11AF" w:rsidRPr="00C71655">
        <w:t xml:space="preserve"> </w:t>
      </w:r>
      <w:r w:rsidR="00FD11AF">
        <w:t>would also be provided.</w:t>
      </w:r>
    </w:p>
    <w:p w:rsidR="001845B9" w:rsidRPr="00C71655" w:rsidRDefault="0008612B" w:rsidP="001845B9">
      <w:pPr>
        <w:tabs>
          <w:tab w:val="left" w:pos="6469"/>
        </w:tabs>
        <w:spacing w:line="480" w:lineRule="auto"/>
        <w:ind w:firstLine="567"/>
      </w:pPr>
      <w:r w:rsidRPr="00C71655">
        <w:t xml:space="preserve">This paper further explores the forecasting ability of daily IVIX on future </w:t>
      </w:r>
      <w:r w:rsidR="00050B5E" w:rsidRPr="00C71655">
        <w:t xml:space="preserve">daily </w:t>
      </w:r>
      <w:r w:rsidRPr="00C71655">
        <w:t>realized volatility.</w:t>
      </w:r>
      <w:r w:rsidR="00CF0A91" w:rsidRPr="00C71655">
        <w:t xml:space="preserve"> By comparing with GARCH(1,1) estimate, </w:t>
      </w:r>
      <w:r w:rsidR="001845B9" w:rsidRPr="00C71655">
        <w:t xml:space="preserve">which is often considered as </w:t>
      </w:r>
      <w:r w:rsidR="00050B5E" w:rsidRPr="00C71655">
        <w:t xml:space="preserve">a </w:t>
      </w:r>
      <w:r w:rsidR="001845B9" w:rsidRPr="00C71655">
        <w:t>good estimate for forecasting realized volatility, this paper concludes that IVIX has better predictive performance than GARCH(1,1) and the combined model of these two estimates outperforms their separate univariate model.</w:t>
      </w:r>
    </w:p>
    <w:p w:rsidR="001845B9" w:rsidRPr="00C71655" w:rsidRDefault="001845B9" w:rsidP="001845B9">
      <w:pPr>
        <w:tabs>
          <w:tab w:val="left" w:pos="6469"/>
        </w:tabs>
        <w:spacing w:line="480" w:lineRule="auto"/>
        <w:ind w:firstLine="567"/>
      </w:pPr>
      <w:r w:rsidRPr="00C71655">
        <w:t xml:space="preserve">This paper also looks into predicting future implied volatility at intraday level. Both </w:t>
      </w:r>
      <w:r w:rsidR="00597A9E" w:rsidRPr="00C71655">
        <w:t>traditional time series forecasting model and Deep Learning Algorithm are applied to the data, namely ARIMA model and Long Short Term Memory (LSTM) model. By comparing the result</w:t>
      </w:r>
      <w:r w:rsidR="00114824" w:rsidRPr="00C71655">
        <w:t xml:space="preserve"> using MAPE, RMSE and MSE</w:t>
      </w:r>
      <w:r w:rsidR="00597A9E" w:rsidRPr="00C71655">
        <w:t>, this paper draws conclusion that LSTM model has higher prediction accuracy than ARIMA model.</w:t>
      </w:r>
    </w:p>
    <w:p w:rsidR="0008612B" w:rsidRPr="00C71655" w:rsidRDefault="0008612B"/>
    <w:p w:rsidR="0086714B" w:rsidRPr="00C71655" w:rsidRDefault="0086714B" w:rsidP="00FA6C44">
      <w:r w:rsidRPr="00C71655">
        <w:rPr>
          <w:b/>
          <w:sz w:val="40"/>
        </w:rPr>
        <w:br w:type="page"/>
      </w:r>
    </w:p>
    <w:p w:rsidR="000B7D10" w:rsidRPr="00C75632" w:rsidRDefault="000B7D10" w:rsidP="00C75632">
      <w:pPr>
        <w:pStyle w:val="ListParagraph"/>
        <w:numPr>
          <w:ilvl w:val="0"/>
          <w:numId w:val="13"/>
        </w:numPr>
        <w:spacing w:line="480" w:lineRule="auto"/>
        <w:rPr>
          <w:b/>
          <w:sz w:val="32"/>
        </w:rPr>
      </w:pPr>
      <w:r w:rsidRPr="00C75632">
        <w:rPr>
          <w:b/>
          <w:sz w:val="32"/>
        </w:rPr>
        <w:lastRenderedPageBreak/>
        <w:t>Introduction</w:t>
      </w:r>
    </w:p>
    <w:p w:rsidR="0029043B" w:rsidRPr="00C71655" w:rsidRDefault="0029043B" w:rsidP="00FB5F16">
      <w:pPr>
        <w:tabs>
          <w:tab w:val="left" w:pos="6469"/>
        </w:tabs>
        <w:spacing w:line="480" w:lineRule="auto"/>
        <w:ind w:firstLine="567"/>
      </w:pPr>
      <w:r w:rsidRPr="00C71655">
        <w:t>VIX, originally proposed by Prof. Menachem Brenner and Dan Galai in 1989 (Brenner &amp; Galai, 1989), is a volatility index for the S&amp;P 500 index return produced by the Chicago Board Options Exchange (CBOE) in a model-free way. It typically increases sharply when the market goes down, so it is also known as “fear index”.  As a forward-looking index, it is implied by the current prices of the options on S&amp;P 500 (European type) and contains information about the expected future stock market volatility over the next 30 days. Due to its</w:t>
      </w:r>
      <w:r w:rsidR="00B85018" w:rsidRPr="00C71655">
        <w:t xml:space="preserve"> wide application</w:t>
      </w:r>
      <w:r w:rsidRPr="00C71655">
        <w:t xml:space="preserve"> in volatility forecasting and relationship with market returns, it is often used in risk management and hedging in the industry. In this paper, I would specifically focus on VIX in the Chinese stock market. China has started option trading in 2015, with Shanghai Stock Exchange(SSE) published 50 ETF </w:t>
      </w:r>
      <w:r w:rsidR="004B46C3" w:rsidRPr="00C71655">
        <w:t xml:space="preserve">as the first </w:t>
      </w:r>
      <w:r w:rsidRPr="00C71655">
        <w:t xml:space="preserve">option. </w:t>
      </w:r>
      <w:r w:rsidR="004B46C3" w:rsidRPr="00C71655">
        <w:t>SSE</w:t>
      </w:r>
      <w:r w:rsidRPr="00C71655">
        <w:t xml:space="preserve"> uses similar method </w:t>
      </w:r>
      <w:r w:rsidR="004B46C3" w:rsidRPr="00C71655">
        <w:t xml:space="preserve">as CBOE </w:t>
      </w:r>
      <w:r w:rsidRPr="00C71655">
        <w:t>to construct a volatility index for SSE 50 ETF</w:t>
      </w:r>
      <w:r w:rsidR="004B46C3" w:rsidRPr="00C71655">
        <w:t xml:space="preserve"> called IVIX, which is a Chinese-versioned VIX</w:t>
      </w:r>
      <w:r w:rsidRPr="00C71655">
        <w:t xml:space="preserve">. It started to publish it in 2015 and stopped publishing it in 2018 February due to the panic it caused in the market. </w:t>
      </w:r>
    </w:p>
    <w:p w:rsidR="0029043B" w:rsidRPr="00C71655" w:rsidRDefault="0029043B" w:rsidP="00B72166">
      <w:pPr>
        <w:tabs>
          <w:tab w:val="left" w:pos="6469"/>
        </w:tabs>
        <w:spacing w:line="480" w:lineRule="auto"/>
        <w:ind w:firstLine="567"/>
      </w:pPr>
      <w:r w:rsidRPr="00C71655">
        <w:t>While considerable research has examined the VIX index including its dynamics,</w:t>
      </w:r>
      <w:r w:rsidR="00FF4DD0" w:rsidRPr="00C71655">
        <w:t xml:space="preserve"> term structure,</w:t>
      </w:r>
      <w:r w:rsidRPr="00C71655">
        <w:t xml:space="preserve"> jump analysis and forecasting power</w:t>
      </w:r>
      <w:r w:rsidR="00837DD7" w:rsidRPr="00C71655">
        <w:t xml:space="preserve"> in the US market</w:t>
      </w:r>
      <w:r w:rsidRPr="00C71655">
        <w:t xml:space="preserve">, there is very limited research done on the Chinese market. The lack of official reporting of IVIX since February 2018 is one of the reasons of the </w:t>
      </w:r>
      <w:r w:rsidR="00837DD7" w:rsidRPr="00C71655">
        <w:t>absence</w:t>
      </w:r>
      <w:r w:rsidRPr="00C71655">
        <w:t xml:space="preserve"> of IVIX researc</w:t>
      </w:r>
      <w:r w:rsidR="007B77BB" w:rsidRPr="00C71655">
        <w:t>h</w:t>
      </w:r>
      <w:r w:rsidRPr="00C71655">
        <w:t>. Another reason is possibly due to the limited liquidity (volume of trading</w:t>
      </w:r>
      <w:r w:rsidR="00837DD7" w:rsidRPr="00C71655">
        <w:t>)</w:t>
      </w:r>
      <w:r w:rsidRPr="00C71655">
        <w:t xml:space="preserve"> in the Chinese </w:t>
      </w:r>
      <w:r w:rsidR="00837DD7" w:rsidRPr="00C71655">
        <w:t xml:space="preserve">option </w:t>
      </w:r>
      <w:r w:rsidRPr="00C71655">
        <w:t>market</w:t>
      </w:r>
      <w:r w:rsidR="00837DD7" w:rsidRPr="00C71655">
        <w:t>, which just started in 2015</w:t>
      </w:r>
      <w:r w:rsidRPr="00C71655">
        <w:t xml:space="preserve">. </w:t>
      </w:r>
      <w:r w:rsidR="00837DD7" w:rsidRPr="00C71655">
        <w:t xml:space="preserve">This paper seeks to complement literature by providing empirical </w:t>
      </w:r>
      <w:r w:rsidR="007B77BB" w:rsidRPr="00C71655">
        <w:t>performance analysis</w:t>
      </w:r>
      <w:r w:rsidR="00837DD7" w:rsidRPr="00C71655">
        <w:t xml:space="preserve"> on IVIX using high frequency data in the emergent Chinese market.</w:t>
      </w:r>
    </w:p>
    <w:p w:rsidR="00087E68" w:rsidRPr="00C71655" w:rsidRDefault="00087E68" w:rsidP="00B72166">
      <w:pPr>
        <w:tabs>
          <w:tab w:val="left" w:pos="6469"/>
        </w:tabs>
        <w:spacing w:line="480" w:lineRule="auto"/>
        <w:ind w:firstLine="567"/>
      </w:pPr>
      <w:r w:rsidRPr="00C71655">
        <w:t>This paper is divided into three sections. For the first section, this paper</w:t>
      </w:r>
      <w:r w:rsidR="0029043B" w:rsidRPr="00C71655">
        <w:t xml:space="preserve"> focus</w:t>
      </w:r>
      <w:r w:rsidRPr="00C71655">
        <w:t>es</w:t>
      </w:r>
      <w:r w:rsidR="0029043B" w:rsidRPr="00C71655">
        <w:t xml:space="preserve"> on analyzing </w:t>
      </w:r>
      <w:r w:rsidR="00687A2E" w:rsidRPr="00C71655">
        <w:t>relationship of IVIX and its underlying stock return</w:t>
      </w:r>
      <w:r w:rsidRPr="00C71655">
        <w:t>.</w:t>
      </w:r>
      <w:r w:rsidR="0029043B" w:rsidRPr="00C71655">
        <w:t xml:space="preserve"> </w:t>
      </w:r>
      <w:r w:rsidR="00837DD7" w:rsidRPr="00C71655">
        <w:t xml:space="preserve">Relationship </w:t>
      </w:r>
      <w:r w:rsidR="005D7361" w:rsidRPr="00C71655">
        <w:t>between</w:t>
      </w:r>
      <w:r w:rsidR="00837DD7" w:rsidRPr="00C71655">
        <w:t xml:space="preserve"> </w:t>
      </w:r>
      <w:r w:rsidR="005D7361" w:rsidRPr="00C71655">
        <w:t xml:space="preserve">stock </w:t>
      </w:r>
      <w:r w:rsidR="00837DD7" w:rsidRPr="00C71655">
        <w:t xml:space="preserve">return and VIX is </w:t>
      </w:r>
      <w:r w:rsidR="00A51E6D" w:rsidRPr="00C71655">
        <w:t xml:space="preserve">a </w:t>
      </w:r>
      <w:r w:rsidR="005D7361" w:rsidRPr="00C71655">
        <w:t xml:space="preserve">broadly studied and well </w:t>
      </w:r>
      <w:r w:rsidR="00837DD7" w:rsidRPr="00C71655">
        <w:t xml:space="preserve">documented </w:t>
      </w:r>
      <w:r w:rsidR="00A51E6D" w:rsidRPr="00C71655">
        <w:t xml:space="preserve">topic </w:t>
      </w:r>
      <w:r w:rsidR="00837DD7" w:rsidRPr="00C71655">
        <w:t xml:space="preserve">in </w:t>
      </w:r>
      <w:r w:rsidR="004B46C3" w:rsidRPr="00C71655">
        <w:t xml:space="preserve">the </w:t>
      </w:r>
      <w:r w:rsidR="00837DD7" w:rsidRPr="00C71655">
        <w:t>US market</w:t>
      </w:r>
      <w:r w:rsidR="005D7361" w:rsidRPr="00C71655">
        <w:t xml:space="preserve">. </w:t>
      </w:r>
      <w:r w:rsidR="00A51E6D" w:rsidRPr="00C71655">
        <w:t>This paper refers to models used in the literature and compare</w:t>
      </w:r>
      <w:r w:rsidR="004B46C3" w:rsidRPr="00C71655">
        <w:t>s</w:t>
      </w:r>
      <w:r w:rsidR="00A51E6D" w:rsidRPr="00C71655">
        <w:t xml:space="preserve"> the different result</w:t>
      </w:r>
      <w:r w:rsidR="004B46C3" w:rsidRPr="00C71655">
        <w:t>s</w:t>
      </w:r>
      <w:r w:rsidR="00A51E6D" w:rsidRPr="00C71655">
        <w:t xml:space="preserve"> in the </w:t>
      </w:r>
      <w:r w:rsidR="00CF430A" w:rsidRPr="00C71655">
        <w:t xml:space="preserve">US and </w:t>
      </w:r>
      <w:r w:rsidR="00CF430A" w:rsidRPr="00C71655">
        <w:lastRenderedPageBreak/>
        <w:t>Chinese</w:t>
      </w:r>
      <w:r w:rsidR="00A51E6D" w:rsidRPr="00C71655">
        <w:t xml:space="preserve"> market</w:t>
      </w:r>
      <w:r w:rsidR="004B46C3" w:rsidRPr="00C71655">
        <w:t>s</w:t>
      </w:r>
      <w:r w:rsidR="00A51E6D" w:rsidRPr="00C71655">
        <w:t xml:space="preserve">. </w:t>
      </w:r>
      <w:r w:rsidR="005D7361" w:rsidRPr="00C71655">
        <w:t>Similar</w:t>
      </w:r>
      <w:r w:rsidR="00837DD7" w:rsidRPr="00C71655">
        <w:t xml:space="preserve"> </w:t>
      </w:r>
      <w:r w:rsidR="0009596B" w:rsidRPr="00C71655">
        <w:t>regression model</w:t>
      </w:r>
      <w:r w:rsidR="00A51E6D" w:rsidRPr="00C71655">
        <w:t>s</w:t>
      </w:r>
      <w:r w:rsidR="0009596B" w:rsidRPr="00C71655">
        <w:t xml:space="preserve"> </w:t>
      </w:r>
      <w:r w:rsidR="00A51E6D" w:rsidRPr="00C71655">
        <w:t xml:space="preserve">used </w:t>
      </w:r>
      <w:r w:rsidR="005D7361" w:rsidRPr="00C71655">
        <w:t>in</w:t>
      </w:r>
      <w:r w:rsidR="0009596B" w:rsidRPr="00C71655">
        <w:t xml:space="preserve"> Giot</w:t>
      </w:r>
      <w:r w:rsidR="009B7103" w:rsidRPr="00C71655">
        <w:t xml:space="preserve"> (2005) are </w:t>
      </w:r>
      <w:r w:rsidR="00A51E6D" w:rsidRPr="00C71655">
        <w:t>adopted</w:t>
      </w:r>
      <w:r w:rsidR="009B7103" w:rsidRPr="00C71655">
        <w:t xml:space="preserve"> in this paper to</w:t>
      </w:r>
      <w:r w:rsidR="0009596B" w:rsidRPr="00C71655">
        <w:t xml:space="preserve"> analyze </w:t>
      </w:r>
      <w:r w:rsidR="009B7103" w:rsidRPr="00C71655">
        <w:t xml:space="preserve">the </w:t>
      </w:r>
      <w:r w:rsidR="0009596B" w:rsidRPr="00C71655">
        <w:t>negative</w:t>
      </w:r>
      <w:r w:rsidR="009B7103" w:rsidRPr="00C71655">
        <w:t xml:space="preserve"> correlation</w:t>
      </w:r>
      <w:r w:rsidR="0009596B" w:rsidRPr="00C71655">
        <w:t>, asymmetric</w:t>
      </w:r>
      <w:r w:rsidR="009B7103" w:rsidRPr="00C71655">
        <w:t xml:space="preserve"> effect</w:t>
      </w:r>
      <w:r w:rsidR="0009596B" w:rsidRPr="00C71655">
        <w:t>, lagged</w:t>
      </w:r>
      <w:r w:rsidR="009B7103" w:rsidRPr="00C71655">
        <w:t xml:space="preserve"> effect and</w:t>
      </w:r>
      <w:r w:rsidR="0009596B" w:rsidRPr="00C71655">
        <w:t xml:space="preserve"> size effect. </w:t>
      </w:r>
      <w:r w:rsidR="004B46C3" w:rsidRPr="00C71655">
        <w:t>Contrary to</w:t>
      </w:r>
      <w:r w:rsidR="00A84123" w:rsidRPr="00C71655">
        <w:t xml:space="preserve"> the empirical evidence in US market, this paper finds </w:t>
      </w:r>
      <w:r w:rsidR="00CF430A" w:rsidRPr="00C71655">
        <w:t>weak negative</w:t>
      </w:r>
      <w:r w:rsidR="00A84123" w:rsidRPr="00C71655">
        <w:t xml:space="preserve"> correlation and no lagged effect between return and implied volatilities. </w:t>
      </w:r>
      <w:r w:rsidR="00A51E6D" w:rsidRPr="00C71655">
        <w:t xml:space="preserve">Combining with </w:t>
      </w:r>
      <w:r w:rsidR="00E344CD" w:rsidRPr="00C71655">
        <w:t>results and reasonings</w:t>
      </w:r>
      <w:r w:rsidR="00A51E6D" w:rsidRPr="00C71655">
        <w:t xml:space="preserve"> from Li, Yu and Luo(2019) and Zheng et al.(2017), this paper also seeks to p</w:t>
      </w:r>
      <w:r w:rsidR="0009596B" w:rsidRPr="00C71655">
        <w:t>rovide explanation</w:t>
      </w:r>
      <w:r w:rsidR="004B46C3" w:rsidRPr="00C71655">
        <w:t>s</w:t>
      </w:r>
      <w:r w:rsidR="0009596B" w:rsidRPr="00C71655">
        <w:t xml:space="preserve"> </w:t>
      </w:r>
      <w:r w:rsidR="00A51E6D" w:rsidRPr="00C71655">
        <w:t>on th</w:t>
      </w:r>
      <w:r w:rsidR="004B46C3" w:rsidRPr="00C71655">
        <w:t>is</w:t>
      </w:r>
      <w:r w:rsidR="00A51E6D" w:rsidRPr="00C71655">
        <w:t xml:space="preserve"> unique phenomenon with reference to </w:t>
      </w:r>
      <w:r w:rsidR="00737027" w:rsidRPr="00C71655">
        <w:t>investor structure</w:t>
      </w:r>
      <w:r w:rsidR="00A51E6D" w:rsidRPr="00C71655">
        <w:t xml:space="preserve"> and</w:t>
      </w:r>
      <w:r w:rsidR="00737027" w:rsidRPr="00C71655">
        <w:t xml:space="preserve"> behavioral theories</w:t>
      </w:r>
      <w:r w:rsidR="00A51E6D" w:rsidRPr="00C71655">
        <w:t>.</w:t>
      </w:r>
      <w:r w:rsidR="00E20DFE" w:rsidRPr="00C71655">
        <w:t xml:space="preserve"> </w:t>
      </w:r>
    </w:p>
    <w:p w:rsidR="00CF430A" w:rsidRPr="00C71655" w:rsidRDefault="00CF430A" w:rsidP="00B72166">
      <w:pPr>
        <w:tabs>
          <w:tab w:val="left" w:pos="6469"/>
        </w:tabs>
        <w:spacing w:line="480" w:lineRule="auto"/>
        <w:ind w:firstLine="567"/>
      </w:pPr>
      <w:r w:rsidRPr="00C71655">
        <w:t xml:space="preserve">The second section studies the </w:t>
      </w:r>
      <w:r w:rsidR="0086714B" w:rsidRPr="00C71655">
        <w:t>predictive performance of IVIX on future realized volatility of the underlying asset. This paper uses three regression model</w:t>
      </w:r>
      <w:r w:rsidR="004B46C3" w:rsidRPr="00C71655">
        <w:t>s</w:t>
      </w:r>
      <w:r w:rsidR="0086714B" w:rsidRPr="00C71655">
        <w:t xml:space="preserve"> with daily data and compares IVIX with GARCH(1,1) estimate, which is often considered as </w:t>
      </w:r>
      <w:r w:rsidR="004B46C3" w:rsidRPr="00C71655">
        <w:t xml:space="preserve">a </w:t>
      </w:r>
      <w:r w:rsidR="0086714B" w:rsidRPr="00C71655">
        <w:t xml:space="preserve">good estimate for forecasting realized volatility. From the regression result, together with </w:t>
      </w:r>
      <w:r w:rsidR="004C507F" w:rsidRPr="00C71655">
        <w:t>several error</w:t>
      </w:r>
      <w:r w:rsidR="0086714B" w:rsidRPr="00C71655">
        <w:t xml:space="preserve"> estimates of the forecasting series, </w:t>
      </w:r>
      <w:r w:rsidR="004C507F" w:rsidRPr="00C71655">
        <w:t>this paper concludes that</w:t>
      </w:r>
      <w:r w:rsidR="004B46C3" w:rsidRPr="00C71655">
        <w:t xml:space="preserve"> daily</w:t>
      </w:r>
      <w:r w:rsidR="004C507F" w:rsidRPr="00C71655">
        <w:t xml:space="preserve"> IVIX has better performance than GARCH(1,1) estimate in forecasting daily realized volatility in the Chinese market.</w:t>
      </w:r>
    </w:p>
    <w:p w:rsidR="00837DD7" w:rsidRPr="00C71655" w:rsidRDefault="00CF430A" w:rsidP="00B72166">
      <w:pPr>
        <w:tabs>
          <w:tab w:val="left" w:pos="6469"/>
        </w:tabs>
        <w:spacing w:line="480" w:lineRule="auto"/>
        <w:ind w:firstLine="567"/>
      </w:pPr>
      <w:r w:rsidRPr="00C71655">
        <w:t xml:space="preserve">The </w:t>
      </w:r>
      <w:r w:rsidR="004C507F" w:rsidRPr="00C71655">
        <w:t>third section</w:t>
      </w:r>
      <w:r w:rsidR="00087E68" w:rsidRPr="00C71655">
        <w:t xml:space="preserve"> </w:t>
      </w:r>
      <w:r w:rsidR="004C507F" w:rsidRPr="00C71655">
        <w:t>looks into forecasting future implied volatility</w:t>
      </w:r>
      <w:r w:rsidR="00087E68" w:rsidRPr="00C71655">
        <w:t xml:space="preserve"> in </w:t>
      </w:r>
      <w:r w:rsidR="0055401A" w:rsidRPr="00C71655">
        <w:t xml:space="preserve">the </w:t>
      </w:r>
      <w:r w:rsidR="00087E68" w:rsidRPr="00C71655">
        <w:t>Chinese market.</w:t>
      </w:r>
      <w:r w:rsidR="004C507F" w:rsidRPr="00C71655">
        <w:t xml:space="preserve"> This paper </w:t>
      </w:r>
      <w:r w:rsidR="00E20DFE" w:rsidRPr="00C71655">
        <w:t>introduce</w:t>
      </w:r>
      <w:r w:rsidR="00827339" w:rsidRPr="00C71655">
        <w:t>s</w:t>
      </w:r>
      <w:r w:rsidR="00E20DFE" w:rsidRPr="00C71655">
        <w:t xml:space="preserve"> both parametric and nonparametric mode</w:t>
      </w:r>
      <w:r w:rsidR="00CD568A" w:rsidRPr="00C71655">
        <w:t>l, namely ARIMA (time series model) and L</w:t>
      </w:r>
      <w:r w:rsidR="00827339" w:rsidRPr="00C71655">
        <w:t xml:space="preserve">ong </w:t>
      </w:r>
      <w:r w:rsidR="00CD568A" w:rsidRPr="00C71655">
        <w:t>S</w:t>
      </w:r>
      <w:r w:rsidR="00827339" w:rsidRPr="00C71655">
        <w:t xml:space="preserve">hort </w:t>
      </w:r>
      <w:r w:rsidR="00CD568A" w:rsidRPr="00C71655">
        <w:t>T</w:t>
      </w:r>
      <w:r w:rsidR="00827339" w:rsidRPr="00C71655">
        <w:t xml:space="preserve">erm </w:t>
      </w:r>
      <w:r w:rsidR="00CD568A" w:rsidRPr="00C71655">
        <w:t>M</w:t>
      </w:r>
      <w:r w:rsidR="00827339" w:rsidRPr="00C71655">
        <w:t>emory</w:t>
      </w:r>
      <w:r w:rsidR="00CD568A" w:rsidRPr="00C71655">
        <w:t xml:space="preserve"> (</w:t>
      </w:r>
      <w:r w:rsidR="00827339" w:rsidRPr="00C71655">
        <w:t>LSTM, a d</w:t>
      </w:r>
      <w:r w:rsidR="00CD568A" w:rsidRPr="00C71655">
        <w:t xml:space="preserve">eep learning algorithm). </w:t>
      </w:r>
      <w:r w:rsidR="004C507F" w:rsidRPr="00C71655">
        <w:t xml:space="preserve">Upon applying the two models on empirical data, several error estimates </w:t>
      </w:r>
      <w:r w:rsidR="00827339" w:rsidRPr="00C71655">
        <w:t>are</w:t>
      </w:r>
      <w:r w:rsidR="00CD568A" w:rsidRPr="00C71655">
        <w:t xml:space="preserve"> used to compare </w:t>
      </w:r>
      <w:r w:rsidR="00827339" w:rsidRPr="00C71655">
        <w:t>the prediction accuracy of future intraday IVIX</w:t>
      </w:r>
      <w:r w:rsidR="00CD568A" w:rsidRPr="00C71655">
        <w:t>.</w:t>
      </w:r>
    </w:p>
    <w:p w:rsidR="00886A3F" w:rsidRPr="00C71655" w:rsidRDefault="00886A3F" w:rsidP="00FB5F16">
      <w:pPr>
        <w:tabs>
          <w:tab w:val="left" w:pos="6469"/>
        </w:tabs>
        <w:spacing w:line="480" w:lineRule="auto"/>
        <w:ind w:firstLine="567"/>
      </w:pPr>
      <w:r w:rsidRPr="00C71655">
        <w:t>The rest of the paper is structured as follows: Section 2 introduces the broad literature of VIX analysis on both US and Chinese market and proposes research question of this paper. Section 3 focuses on the calculation method of high frequency</w:t>
      </w:r>
      <w:r w:rsidR="004C507F" w:rsidRPr="00C71655">
        <w:t xml:space="preserve"> IVIX</w:t>
      </w:r>
      <w:r w:rsidR="00E30DB7" w:rsidRPr="00C71655">
        <w:t xml:space="preserve"> and measurements of other variables used in this paper</w:t>
      </w:r>
      <w:r w:rsidRPr="00C71655">
        <w:t>.</w:t>
      </w:r>
      <w:r w:rsidR="00CE5489" w:rsidRPr="00C71655">
        <w:t xml:space="preserve"> </w:t>
      </w:r>
      <w:r w:rsidR="00033C68">
        <w:t xml:space="preserve">Section 4 provides an overview of methodology used in this paper. </w:t>
      </w:r>
      <w:r w:rsidR="00CE5489" w:rsidRPr="00C71655">
        <w:t xml:space="preserve">Section </w:t>
      </w:r>
      <w:r w:rsidR="00033C68">
        <w:t xml:space="preserve">5 </w:t>
      </w:r>
      <w:r w:rsidR="00CE5489" w:rsidRPr="00C71655">
        <w:t>reports the regression result and analyzes relationship of return and IVIX.</w:t>
      </w:r>
      <w:r w:rsidR="00237531" w:rsidRPr="00C71655">
        <w:t xml:space="preserve"> </w:t>
      </w:r>
      <w:r w:rsidR="004C507F" w:rsidRPr="00C71655">
        <w:t xml:space="preserve">Section </w:t>
      </w:r>
      <w:r w:rsidR="00033C68">
        <w:t>6</w:t>
      </w:r>
      <w:r w:rsidR="004C507F" w:rsidRPr="00C71655">
        <w:t xml:space="preserve"> compares IVIX and GARCH(1,1) estimate in forecasting future realized </w:t>
      </w:r>
      <w:r w:rsidR="004C507F" w:rsidRPr="00C71655">
        <w:lastRenderedPageBreak/>
        <w:t xml:space="preserve">volatility. </w:t>
      </w:r>
      <w:r w:rsidR="00237531" w:rsidRPr="00C71655">
        <w:t xml:space="preserve">Section </w:t>
      </w:r>
      <w:r w:rsidR="00033C68">
        <w:t>7</w:t>
      </w:r>
      <w:r w:rsidR="00237531" w:rsidRPr="00C71655">
        <w:t xml:space="preserve"> discusses the predictive performance </w:t>
      </w:r>
      <w:r w:rsidR="004C507F" w:rsidRPr="00C71655">
        <w:t xml:space="preserve">of IVIX </w:t>
      </w:r>
      <w:r w:rsidR="00237531" w:rsidRPr="00C71655">
        <w:t>o</w:t>
      </w:r>
      <w:r w:rsidR="004C507F" w:rsidRPr="00C71655">
        <w:t>n future implied volatility</w:t>
      </w:r>
      <w:r w:rsidR="00237531" w:rsidRPr="00C71655">
        <w:t xml:space="preserve">. Section </w:t>
      </w:r>
      <w:r w:rsidR="00033C68">
        <w:t>8</w:t>
      </w:r>
      <w:r w:rsidR="00237531" w:rsidRPr="00C71655">
        <w:t xml:space="preserve"> concludes the paper.</w:t>
      </w:r>
    </w:p>
    <w:p w:rsidR="00FF72BF" w:rsidRPr="00C75632" w:rsidRDefault="00FF72BF" w:rsidP="00C75632">
      <w:pPr>
        <w:pStyle w:val="ListParagraph"/>
        <w:numPr>
          <w:ilvl w:val="0"/>
          <w:numId w:val="13"/>
        </w:numPr>
        <w:spacing w:line="480" w:lineRule="auto"/>
        <w:rPr>
          <w:b/>
          <w:sz w:val="32"/>
        </w:rPr>
      </w:pPr>
      <w:r w:rsidRPr="00C75632">
        <w:rPr>
          <w:b/>
          <w:sz w:val="32"/>
        </w:rPr>
        <w:t>Literature</w:t>
      </w:r>
      <w:r w:rsidR="00226645">
        <w:rPr>
          <w:b/>
          <w:sz w:val="32"/>
        </w:rPr>
        <w:t xml:space="preserve"> Review</w:t>
      </w:r>
    </w:p>
    <w:p w:rsidR="00B30E82" w:rsidRPr="00C71655" w:rsidRDefault="00A84123" w:rsidP="00721494">
      <w:pPr>
        <w:spacing w:line="480" w:lineRule="auto"/>
        <w:ind w:firstLine="720"/>
      </w:pPr>
      <w:r w:rsidRPr="00C71655">
        <w:t>There are a wide range of previous studies on the relationship of implied volatili</w:t>
      </w:r>
      <w:r w:rsidR="00CF4261">
        <w:t xml:space="preserve">ty </w:t>
      </w:r>
      <w:r w:rsidRPr="00C71655">
        <w:t xml:space="preserve">and the underlying stock return. </w:t>
      </w:r>
      <w:r w:rsidR="00781E6A" w:rsidRPr="00C71655">
        <w:t>The significant negative and asymmetric correlation is first pointed out by Black (1976). He propose</w:t>
      </w:r>
      <w:r w:rsidR="00AC155F">
        <w:t>s</w:t>
      </w:r>
      <w:r w:rsidR="00781E6A" w:rsidRPr="00C71655">
        <w:t xml:space="preserve"> leverage hypothesis to account for the asymmetry that negative shocks in return will increase the leverage, thus driving up volatility. Another traditional hypothesis to explain the asymmetric effect is </w:t>
      </w:r>
      <w:r w:rsidR="00721494" w:rsidRPr="00C71655">
        <w:t xml:space="preserve">the </w:t>
      </w:r>
      <w:r w:rsidR="00781E6A" w:rsidRPr="00C71655">
        <w:t>volatility feedback hypothesis</w:t>
      </w:r>
      <w:r w:rsidR="00963621" w:rsidRPr="00C71655">
        <w:t xml:space="preserve"> </w:t>
      </w:r>
      <w:r w:rsidR="00781E6A" w:rsidRPr="00C71655">
        <w:t>presented by Poterba and Summers (1986</w:t>
      </w:r>
      <w:r w:rsidR="00963621" w:rsidRPr="00C71655">
        <w:t xml:space="preserve">), focusing on the long term economic process. Leverage hypothesis and volatility feedback hypothesis are mostly suitable for low frequency data (weekly </w:t>
      </w:r>
      <w:r w:rsidR="00721494" w:rsidRPr="00C71655">
        <w:t xml:space="preserve">and </w:t>
      </w:r>
      <w:r w:rsidR="00963621" w:rsidRPr="00C71655">
        <w:t>monthly), but couldn’t provide good interpretation for intraday data. Low(2004) suggests that behavioral theory could be used for intraday evidence, fitting the gap. Hi</w:t>
      </w:r>
      <w:r w:rsidR="00DD00C4" w:rsidRPr="00C71655">
        <w:t>b</w:t>
      </w:r>
      <w:r w:rsidR="00963621" w:rsidRPr="00C71655">
        <w:t xml:space="preserve">bert </w:t>
      </w:r>
      <w:r w:rsidR="00FF29F9" w:rsidRPr="00C71655">
        <w:t>(2008) and Talukdar, Daigler, and Parhizgari (2017) take a step further and verify that negative and asymmetric relation</w:t>
      </w:r>
      <w:r w:rsidR="00721494" w:rsidRPr="00C71655">
        <w:t xml:space="preserve"> in high frequency data</w:t>
      </w:r>
      <w:r w:rsidR="00FF29F9" w:rsidRPr="00C71655">
        <w:t xml:space="preserve"> is consistent with behavioral theories rather than the two traditional</w:t>
      </w:r>
      <w:r w:rsidR="00721494" w:rsidRPr="00C71655">
        <w:t xml:space="preserve"> hypothesis</w:t>
      </w:r>
      <w:r w:rsidR="00FF29F9" w:rsidRPr="00C71655">
        <w:t xml:space="preserve">. </w:t>
      </w:r>
      <w:r w:rsidR="00B30E82" w:rsidRPr="00C71655">
        <w:t>However, the negative and asymmetric correlation is not</w:t>
      </w:r>
      <w:r w:rsidR="00B35C0F" w:rsidRPr="00C71655">
        <w:t xml:space="preserve"> always consistent with </w:t>
      </w:r>
      <w:r w:rsidR="002F5604" w:rsidRPr="00C71655">
        <w:t xml:space="preserve">the </w:t>
      </w:r>
      <w:r w:rsidR="00B35C0F" w:rsidRPr="00C71655">
        <w:t xml:space="preserve">Chinese market. Zheng, Jiang and Chen(2017) find that daily VIX is positive related to SSE 50 ETF price during the whole sample period. Li, Yu and Luo(2019) add to the argument that intraday IVIX is also positively related to the underlying </w:t>
      </w:r>
      <w:r w:rsidR="002F5604" w:rsidRPr="00C71655">
        <w:t xml:space="preserve">stock </w:t>
      </w:r>
      <w:r w:rsidR="00B35C0F" w:rsidRPr="00C71655">
        <w:t xml:space="preserve">price. </w:t>
      </w:r>
    </w:p>
    <w:p w:rsidR="005961C1" w:rsidRPr="00C71655" w:rsidRDefault="004D5647" w:rsidP="002F5604">
      <w:pPr>
        <w:spacing w:line="480" w:lineRule="auto"/>
        <w:ind w:firstLine="720"/>
        <w:rPr>
          <w:color w:val="000000" w:themeColor="text1"/>
        </w:rPr>
      </w:pPr>
      <w:r w:rsidRPr="00C71655">
        <w:t xml:space="preserve">Using implied volatility to forecast future realized volatility is another heated topic in the volatility studies. Various researchers have explored the relationship and arrived at different conclusions at different frequencies. </w:t>
      </w:r>
      <w:r w:rsidR="0060321F" w:rsidRPr="00C71655">
        <w:rPr>
          <w:color w:val="000000" w:themeColor="text1"/>
        </w:rPr>
        <w:t>Prevailing studies such as Christensen and Prabhala (1998)</w:t>
      </w:r>
      <w:r w:rsidR="005C53B7" w:rsidRPr="00C71655">
        <w:rPr>
          <w:color w:val="000000" w:themeColor="text1"/>
        </w:rPr>
        <w:t xml:space="preserve"> show that the implied volatility of S&amp;P 100 can predict the actual </w:t>
      </w:r>
      <w:r w:rsidR="00D03B31" w:rsidRPr="00C71655">
        <w:rPr>
          <w:color w:val="000000" w:themeColor="text1"/>
        </w:rPr>
        <w:t xml:space="preserve">realized </w:t>
      </w:r>
      <w:r w:rsidR="005C53B7" w:rsidRPr="00C71655">
        <w:rPr>
          <w:color w:val="000000" w:themeColor="text1"/>
        </w:rPr>
        <w:t xml:space="preserve">volatility in the underlying index using daily returns. </w:t>
      </w:r>
      <w:r w:rsidR="00D03B31" w:rsidRPr="00C71655">
        <w:rPr>
          <w:color w:val="000000" w:themeColor="text1"/>
        </w:rPr>
        <w:t xml:space="preserve">However, it is discovered by Andersen and Bollerslev(1998) that </w:t>
      </w:r>
      <w:r w:rsidR="002F5604" w:rsidRPr="00C71655">
        <w:rPr>
          <w:color w:val="000000" w:themeColor="text1"/>
        </w:rPr>
        <w:t xml:space="preserve">due to the noise in daily squared returns, </w:t>
      </w:r>
      <w:r w:rsidR="005961C1" w:rsidRPr="00C71655">
        <w:rPr>
          <w:color w:val="000000" w:themeColor="text1"/>
        </w:rPr>
        <w:t xml:space="preserve">models which intend to </w:t>
      </w:r>
      <w:r w:rsidR="005961C1" w:rsidRPr="00C71655">
        <w:rPr>
          <w:color w:val="000000" w:themeColor="text1"/>
        </w:rPr>
        <w:lastRenderedPageBreak/>
        <w:t>forecast realized volatility measured by daily returns usually have low R-square values. Therefore, Blair et al. (200</w:t>
      </w:r>
      <w:r w:rsidR="00AA1FF8" w:rsidRPr="00C71655">
        <w:rPr>
          <w:color w:val="000000" w:themeColor="text1"/>
        </w:rPr>
        <w:t>1</w:t>
      </w:r>
      <w:r w:rsidR="005961C1" w:rsidRPr="00C71655">
        <w:rPr>
          <w:color w:val="000000" w:themeColor="text1"/>
        </w:rPr>
        <w:t xml:space="preserve">) follow their </w:t>
      </w:r>
      <w:r w:rsidR="002F5604" w:rsidRPr="00C71655">
        <w:rPr>
          <w:color w:val="000000" w:themeColor="text1"/>
        </w:rPr>
        <w:t>direction</w:t>
      </w:r>
      <w:r w:rsidR="005961C1" w:rsidRPr="00C71655">
        <w:rPr>
          <w:color w:val="000000" w:themeColor="text1"/>
        </w:rPr>
        <w:t xml:space="preserve"> and use high frequency returns to measure realized volatility. They arrive at the conclusion that high frequency observations provide more accurate estimation of</w:t>
      </w:r>
      <w:r w:rsidR="00440E03" w:rsidRPr="00C71655">
        <w:rPr>
          <w:color w:val="000000" w:themeColor="text1"/>
        </w:rPr>
        <w:t xml:space="preserve"> future</w:t>
      </w:r>
      <w:r w:rsidR="005961C1" w:rsidRPr="00C71655">
        <w:rPr>
          <w:color w:val="000000" w:themeColor="text1"/>
        </w:rPr>
        <w:t xml:space="preserve"> realized volatilit</w:t>
      </w:r>
      <w:r w:rsidR="002F5604" w:rsidRPr="00C71655">
        <w:rPr>
          <w:color w:val="000000" w:themeColor="text1"/>
        </w:rPr>
        <w:t>y</w:t>
      </w:r>
      <w:r w:rsidR="005961C1" w:rsidRPr="00C71655">
        <w:rPr>
          <w:color w:val="000000" w:themeColor="text1"/>
        </w:rPr>
        <w:t xml:space="preserve">. They also conclude that VIX outperforms other estimates in forecasting realized volatility measured by high frequency returns. </w:t>
      </w:r>
      <w:r w:rsidR="00DD4F1A" w:rsidRPr="00C71655">
        <w:rPr>
          <w:color w:val="000000" w:themeColor="text1"/>
        </w:rPr>
        <w:t>Day and Lewis(1992) further combine VIX and GARCH(1,1) estimate using multivariate regression</w:t>
      </w:r>
      <w:r w:rsidR="00AF09BF" w:rsidRPr="00C71655">
        <w:rPr>
          <w:color w:val="000000" w:themeColor="text1"/>
        </w:rPr>
        <w:t xml:space="preserve">. The result shows </w:t>
      </w:r>
      <w:r w:rsidR="00AC155F">
        <w:rPr>
          <w:color w:val="000000" w:themeColor="text1"/>
        </w:rPr>
        <w:t>that its</w:t>
      </w:r>
      <w:r w:rsidR="00AF09BF" w:rsidRPr="00C71655">
        <w:rPr>
          <w:color w:val="000000" w:themeColor="text1"/>
        </w:rPr>
        <w:t xml:space="preserve"> </w:t>
      </w:r>
      <w:r w:rsidR="00AC155F">
        <w:rPr>
          <w:color w:val="000000" w:themeColor="text1"/>
        </w:rPr>
        <w:t>prediction</w:t>
      </w:r>
      <w:r w:rsidR="00AF09BF" w:rsidRPr="00C71655">
        <w:rPr>
          <w:color w:val="000000" w:themeColor="text1"/>
        </w:rPr>
        <w:t xml:space="preserve"> accuracy is </w:t>
      </w:r>
      <w:r w:rsidR="00AC155F">
        <w:rPr>
          <w:color w:val="000000" w:themeColor="text1"/>
        </w:rPr>
        <w:t>higher</w:t>
      </w:r>
      <w:r w:rsidR="00AF09BF" w:rsidRPr="00C71655">
        <w:rPr>
          <w:color w:val="000000" w:themeColor="text1"/>
        </w:rPr>
        <w:t xml:space="preserve"> than any </w:t>
      </w:r>
      <w:r w:rsidR="00440E03" w:rsidRPr="00C71655">
        <w:rPr>
          <w:color w:val="000000" w:themeColor="text1"/>
        </w:rPr>
        <w:t xml:space="preserve">of the two separate </w:t>
      </w:r>
      <w:r w:rsidR="00AF09BF" w:rsidRPr="00C71655">
        <w:rPr>
          <w:color w:val="000000" w:themeColor="text1"/>
        </w:rPr>
        <w:t>univariate model</w:t>
      </w:r>
      <w:r w:rsidR="00440E03" w:rsidRPr="00C71655">
        <w:rPr>
          <w:color w:val="000000" w:themeColor="text1"/>
        </w:rPr>
        <w:t>s</w:t>
      </w:r>
      <w:r w:rsidR="00AF09BF" w:rsidRPr="00C71655">
        <w:rPr>
          <w:color w:val="000000" w:themeColor="text1"/>
        </w:rPr>
        <w:t>.</w:t>
      </w:r>
    </w:p>
    <w:p w:rsidR="00F925A3" w:rsidRPr="00C71655" w:rsidRDefault="009B4F8C" w:rsidP="00440E03">
      <w:pPr>
        <w:spacing w:line="480" w:lineRule="auto"/>
        <w:ind w:firstLine="720"/>
      </w:pPr>
      <w:r w:rsidRPr="00C71655">
        <w:t>Since i</w:t>
      </w:r>
      <w:r w:rsidR="00713094" w:rsidRPr="00C71655">
        <w:t xml:space="preserve">mplied volatility is </w:t>
      </w:r>
      <w:r w:rsidR="00AF09BF" w:rsidRPr="00C71655">
        <w:t xml:space="preserve">itself </w:t>
      </w:r>
      <w:r w:rsidR="00713094" w:rsidRPr="00C71655">
        <w:t xml:space="preserve">an important tool for option pricing, risk management and trading strategies, having an accurate prediction of future implied volatility is essential and </w:t>
      </w:r>
      <w:r w:rsidRPr="00C71655">
        <w:t>profitable. There exist various types of models for volatility prediction. Simple time series regression model</w:t>
      </w:r>
      <w:r w:rsidR="00501B5C" w:rsidRPr="00C71655">
        <w:t>s</w:t>
      </w:r>
      <w:r w:rsidRPr="00C71655">
        <w:t xml:space="preserve"> such as ARIMA</w:t>
      </w:r>
      <w:r w:rsidR="00E829D8" w:rsidRPr="00C71655">
        <w:t>,</w:t>
      </w:r>
      <w:r w:rsidR="00501B5C" w:rsidRPr="00C71655">
        <w:t xml:space="preserve"> which combines past volatility terms and noise process</w:t>
      </w:r>
      <w:r w:rsidR="00E829D8" w:rsidRPr="00C71655">
        <w:t>,</w:t>
      </w:r>
      <w:r w:rsidRPr="00C71655">
        <w:t xml:space="preserve"> </w:t>
      </w:r>
      <w:r w:rsidR="00501B5C" w:rsidRPr="00C71655">
        <w:t>are</w:t>
      </w:r>
      <w:r w:rsidRPr="00C71655">
        <w:t xml:space="preserve"> often considered as benchmark model</w:t>
      </w:r>
      <w:r w:rsidR="00501B5C" w:rsidRPr="00C71655">
        <w:t>s</w:t>
      </w:r>
      <w:r w:rsidRPr="00C71655">
        <w:t>. ARCH class model</w:t>
      </w:r>
      <w:r w:rsidR="00ED2C5F" w:rsidRPr="00C71655">
        <w:t xml:space="preserve"> is</w:t>
      </w:r>
      <w:r w:rsidR="00E829D8" w:rsidRPr="00C71655">
        <w:t xml:space="preserve"> another</w:t>
      </w:r>
      <w:r w:rsidR="00ED2C5F" w:rsidRPr="00C71655">
        <w:t xml:space="preserve"> popular volatility forecasting model</w:t>
      </w:r>
      <w:r w:rsidRPr="00C71655">
        <w:t xml:space="preserve"> proposed and studied by </w:t>
      </w:r>
      <w:r w:rsidR="00E829D8" w:rsidRPr="00C71655">
        <w:t xml:space="preserve">many </w:t>
      </w:r>
      <w:r w:rsidRPr="00C71655">
        <w:t>scholars (e.g. Bollerslev, Cho and Kroner(1992) and Bollerslev, Engle and Nelson(1994))</w:t>
      </w:r>
      <w:r w:rsidR="00ED2C5F" w:rsidRPr="00C71655">
        <w:t>.</w:t>
      </w:r>
      <w:r w:rsidR="00E8027E" w:rsidRPr="00C71655">
        <w:t xml:space="preserve"> Instead of sample standard deviation, </w:t>
      </w:r>
      <w:r w:rsidR="00F925A3" w:rsidRPr="00C71655">
        <w:t>it constructs conditional variance of return. Among all ARCH class model, GARCH(1,1) is the most widely used in financial time series modelling.</w:t>
      </w:r>
      <w:r w:rsidR="00E741DB" w:rsidRPr="00C71655">
        <w:t xml:space="preserve"> In addition,</w:t>
      </w:r>
      <w:r w:rsidR="00F925A3" w:rsidRPr="00C71655">
        <w:t xml:space="preserve"> </w:t>
      </w:r>
      <w:r w:rsidR="00E741DB" w:rsidRPr="00C71655">
        <w:t>a</w:t>
      </w:r>
      <w:r w:rsidR="00F925A3" w:rsidRPr="00C71655">
        <w:t>long with the rapid growth of Machine Learning and Deep Learning, non-parametric models ha</w:t>
      </w:r>
      <w:r w:rsidR="00AC155F">
        <w:t>ve</w:t>
      </w:r>
      <w:r w:rsidR="00F925A3" w:rsidRPr="00C71655">
        <w:t xml:space="preserve"> attracting more attention.</w:t>
      </w:r>
      <w:r w:rsidR="001446E5" w:rsidRPr="00C71655">
        <w:t xml:space="preserve"> </w:t>
      </w:r>
      <w:r w:rsidR="00F925A3" w:rsidRPr="00C71655">
        <w:t>Park, Kim and Lee(2014) compare</w:t>
      </w:r>
      <w:r w:rsidR="00AC155F">
        <w:t xml:space="preserve"> </w:t>
      </w:r>
      <w:r w:rsidR="00F925A3" w:rsidRPr="00C71655">
        <w:t>the result of parametric and nonparametric model</w:t>
      </w:r>
      <w:r w:rsidR="00AC155F">
        <w:t>s</w:t>
      </w:r>
      <w:r w:rsidR="00F925A3" w:rsidRPr="00C71655">
        <w:t xml:space="preserve"> in predicting option price. It turns out that non-parametric models h</w:t>
      </w:r>
      <w:r w:rsidR="00E741DB" w:rsidRPr="00C71655">
        <w:t xml:space="preserve">ave </w:t>
      </w:r>
      <w:r w:rsidR="00F925A3" w:rsidRPr="00C71655">
        <w:t xml:space="preserve">better accuracy on </w:t>
      </w:r>
      <w:r w:rsidR="00E741DB" w:rsidRPr="00C71655">
        <w:t xml:space="preserve">both </w:t>
      </w:r>
      <w:r w:rsidR="00F925A3" w:rsidRPr="00C71655">
        <w:t>in-sample and out-of-sample prediction. Therefore, this paper proposes to use Long Short Term Memory (LSTM) Model</w:t>
      </w:r>
      <w:r w:rsidR="00E741DB" w:rsidRPr="00C71655">
        <w:t xml:space="preserve"> as well.</w:t>
      </w:r>
    </w:p>
    <w:p w:rsidR="00F925A3" w:rsidRPr="00C71655" w:rsidRDefault="00E741DB" w:rsidP="00E741DB">
      <w:pPr>
        <w:spacing w:line="480" w:lineRule="auto"/>
        <w:ind w:firstLine="360"/>
      </w:pPr>
      <w:r w:rsidRPr="00C71655">
        <w:t>In this paper, w</w:t>
      </w:r>
      <w:r w:rsidR="00F925A3" w:rsidRPr="00C71655">
        <w:t xml:space="preserve">e add to the literature by </w:t>
      </w:r>
      <w:r w:rsidR="001446E5" w:rsidRPr="00C71655">
        <w:t>solving the below research questions using high frequency data:</w:t>
      </w:r>
    </w:p>
    <w:p w:rsidR="001446E5" w:rsidRPr="00C71655" w:rsidRDefault="001446E5" w:rsidP="001446E5">
      <w:pPr>
        <w:pStyle w:val="ListParagraph"/>
        <w:numPr>
          <w:ilvl w:val="0"/>
          <w:numId w:val="10"/>
        </w:numPr>
        <w:spacing w:line="480" w:lineRule="auto"/>
      </w:pPr>
      <w:r w:rsidRPr="00C71655">
        <w:lastRenderedPageBreak/>
        <w:t>Do high frequency IVIX and SSE 50 ETF have the similar relationship comparing to the US market with regard to negative, asymmetric, size and lagged effect? How can we interpret the relation?</w:t>
      </w:r>
    </w:p>
    <w:p w:rsidR="0054607C" w:rsidRPr="00C71655" w:rsidRDefault="0054607C" w:rsidP="001446E5">
      <w:pPr>
        <w:pStyle w:val="ListParagraph"/>
        <w:numPr>
          <w:ilvl w:val="0"/>
          <w:numId w:val="10"/>
        </w:numPr>
        <w:spacing w:line="480" w:lineRule="auto"/>
      </w:pPr>
      <w:r w:rsidRPr="00C71655">
        <w:t>Does daily IVIX provide</w:t>
      </w:r>
      <w:r w:rsidR="00E741DB" w:rsidRPr="00C71655">
        <w:t>s</w:t>
      </w:r>
      <w:r w:rsidRPr="00C71655">
        <w:t xml:space="preserve"> more accurate forecast of future daily realized volatility</w:t>
      </w:r>
      <w:r w:rsidR="00E741DB" w:rsidRPr="00C71655">
        <w:t xml:space="preserve"> t</w:t>
      </w:r>
      <w:r w:rsidRPr="00C71655">
        <w:t>han GARCH(1,1) estimate?</w:t>
      </w:r>
    </w:p>
    <w:p w:rsidR="00FF72BF" w:rsidRDefault="001446E5" w:rsidP="00C64881">
      <w:pPr>
        <w:pStyle w:val="ListParagraph"/>
        <w:numPr>
          <w:ilvl w:val="0"/>
          <w:numId w:val="10"/>
        </w:numPr>
        <w:spacing w:line="480" w:lineRule="auto"/>
      </w:pPr>
      <w:r w:rsidRPr="00C71655">
        <w:t>Does high frequency IVIX has predictive power for future implied volatilit</w:t>
      </w:r>
      <w:r w:rsidR="00E741DB" w:rsidRPr="00C71655">
        <w:t>y</w:t>
      </w:r>
      <w:r w:rsidRPr="00C71655">
        <w:t xml:space="preserve">? Which model </w:t>
      </w:r>
      <w:r w:rsidR="00E741DB" w:rsidRPr="00C71655">
        <w:t xml:space="preserve">between ARIMA and LSTM </w:t>
      </w:r>
      <w:r w:rsidRPr="00C71655">
        <w:t>performs better?</w:t>
      </w:r>
    </w:p>
    <w:p w:rsidR="00561C5B" w:rsidRPr="00561C5B" w:rsidRDefault="00561C5B" w:rsidP="00561C5B">
      <w:pPr>
        <w:pStyle w:val="ListParagraph"/>
        <w:numPr>
          <w:ilvl w:val="0"/>
          <w:numId w:val="13"/>
        </w:numPr>
        <w:spacing w:line="480" w:lineRule="auto"/>
        <w:rPr>
          <w:b/>
          <w:sz w:val="32"/>
        </w:rPr>
      </w:pPr>
      <w:r>
        <w:rPr>
          <w:b/>
          <w:sz w:val="32"/>
        </w:rPr>
        <w:t>Data and Measurement of Variables</w:t>
      </w:r>
    </w:p>
    <w:p w:rsidR="00633C7F" w:rsidRPr="00C71655" w:rsidRDefault="00633C7F" w:rsidP="00C64881">
      <w:pPr>
        <w:spacing w:line="480" w:lineRule="auto"/>
        <w:rPr>
          <w:b/>
        </w:rPr>
      </w:pPr>
      <w:r w:rsidRPr="00C71655">
        <w:rPr>
          <w:b/>
        </w:rPr>
        <w:t>3.1</w:t>
      </w:r>
      <w:r w:rsidR="00561C5B">
        <w:rPr>
          <w:b/>
        </w:rPr>
        <w:t xml:space="preserve"> </w:t>
      </w:r>
      <w:r w:rsidRPr="00C71655">
        <w:rPr>
          <w:b/>
        </w:rPr>
        <w:t>Calculation of High Frequency VIX</w:t>
      </w:r>
    </w:p>
    <w:p w:rsidR="00FF6EFF" w:rsidRPr="00C71655" w:rsidRDefault="00FF6EFF" w:rsidP="00C64881">
      <w:pPr>
        <w:tabs>
          <w:tab w:val="left" w:pos="6469"/>
        </w:tabs>
        <w:spacing w:line="480" w:lineRule="auto"/>
        <w:ind w:firstLine="567"/>
      </w:pPr>
      <w:r w:rsidRPr="00C71655">
        <w:t xml:space="preserve">Shanghai Stock Exchange(SSE) published daily IVIX index from February 2015 and stopped publishing in February 2018 due to market panic. So the IVIX available doesn't </w:t>
      </w:r>
      <w:r w:rsidR="00B00E01" w:rsidRPr="00C71655">
        <w:t>include</w:t>
      </w:r>
      <w:r w:rsidRPr="00C71655">
        <w:t xml:space="preserve"> more recent data from 2018~2</w:t>
      </w:r>
      <w:r w:rsidRPr="00C71655">
        <w:rPr>
          <w:color w:val="000000" w:themeColor="text1"/>
        </w:rPr>
        <w:t>019</w:t>
      </w:r>
      <w:r w:rsidR="00B00E01" w:rsidRPr="00C71655">
        <w:rPr>
          <w:color w:val="000000" w:themeColor="text1"/>
        </w:rPr>
        <w:t xml:space="preserve">. Also, </w:t>
      </w:r>
      <w:r w:rsidR="00704D15" w:rsidRPr="00C71655">
        <w:rPr>
          <w:color w:val="000000" w:themeColor="text1"/>
        </w:rPr>
        <w:t xml:space="preserve">daily data </w:t>
      </w:r>
      <w:r w:rsidR="004A2571" w:rsidRPr="00C71655">
        <w:rPr>
          <w:color w:val="000000" w:themeColor="text1"/>
        </w:rPr>
        <w:t xml:space="preserve">could not provide enough evidence for this </w:t>
      </w:r>
      <w:r w:rsidR="00704D15" w:rsidRPr="00C71655">
        <w:rPr>
          <w:color w:val="000000" w:themeColor="text1"/>
        </w:rPr>
        <w:t>paper’s hypothesis</w:t>
      </w:r>
      <w:r w:rsidRPr="00C71655">
        <w:rPr>
          <w:color w:val="000000" w:themeColor="text1"/>
        </w:rPr>
        <w:t xml:space="preserve">. Due to the </w:t>
      </w:r>
      <w:r w:rsidRPr="00C71655">
        <w:t>two above reasons, this paper first compute</w:t>
      </w:r>
      <w:r w:rsidR="00646659" w:rsidRPr="00C71655">
        <w:t>s</w:t>
      </w:r>
      <w:r w:rsidRPr="00C71655">
        <w:t xml:space="preserve"> the high frequency IVIX in the Chinese market using transaction data of SSE 50 ETF from February 9</w:t>
      </w:r>
      <w:r w:rsidRPr="00C71655">
        <w:rPr>
          <w:vertAlign w:val="superscript"/>
        </w:rPr>
        <w:t>th</w:t>
      </w:r>
      <w:r w:rsidRPr="00C71655">
        <w:t xml:space="preserve"> 2015 to October 22</w:t>
      </w:r>
      <w:r w:rsidRPr="00C71655">
        <w:rPr>
          <w:vertAlign w:val="superscript"/>
        </w:rPr>
        <w:t>nd</w:t>
      </w:r>
      <w:r w:rsidRPr="00C71655">
        <w:t xml:space="preserve"> 2019 at 1-minute frequency. The raw data is provided by Volatility Institute in NYU Shanghai. For each minute and each option, the raw data includes information about the open and close price, </w:t>
      </w:r>
      <w:r w:rsidR="00646659" w:rsidRPr="00C71655">
        <w:t xml:space="preserve">trading </w:t>
      </w:r>
      <w:r w:rsidRPr="00C71655">
        <w:t xml:space="preserve">volume and total turnover. Since the </w:t>
      </w:r>
      <w:r w:rsidR="00646659" w:rsidRPr="00C71655">
        <w:t xml:space="preserve">raw </w:t>
      </w:r>
      <w:r w:rsidRPr="00C71655">
        <w:t>data uses option id to denote different options, the option code table is also needed in this paper</w:t>
      </w:r>
      <w:r w:rsidR="00646659" w:rsidRPr="00C71655">
        <w:t>, which</w:t>
      </w:r>
      <w:r w:rsidRPr="00C71655">
        <w:t xml:space="preserve"> contains option id and its option type, maturity date and strike price. Combining the two dataset above, we can merge them to get the full information of every minute’s transaction. The following graph is a snapshot of the merged data for every minute.</w:t>
      </w:r>
    </w:p>
    <w:p w:rsidR="00FF6EFF" w:rsidRPr="00C71655" w:rsidRDefault="00FF6EFF" w:rsidP="00FF6EFF">
      <w:pPr>
        <w:keepNext/>
        <w:tabs>
          <w:tab w:val="left" w:pos="6469"/>
        </w:tabs>
        <w:spacing w:line="360" w:lineRule="auto"/>
      </w:pPr>
      <w:r w:rsidRPr="00C71655">
        <w:rPr>
          <w:noProof/>
        </w:rPr>
        <w:lastRenderedPageBreak/>
        <w:drawing>
          <wp:inline distT="0" distB="0" distL="0" distR="0">
            <wp:extent cx="5727700" cy="1576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576705"/>
                    </a:xfrm>
                    <a:prstGeom prst="rect">
                      <a:avLst/>
                    </a:prstGeom>
                  </pic:spPr>
                </pic:pic>
              </a:graphicData>
            </a:graphic>
          </wp:inline>
        </w:drawing>
      </w:r>
    </w:p>
    <w:p w:rsidR="00FF6EFF" w:rsidRPr="00C71655" w:rsidRDefault="00FF6EFF" w:rsidP="00FF6EFF">
      <w:pPr>
        <w:pStyle w:val="Caption"/>
        <w:jc w:val="center"/>
      </w:pPr>
      <w:r w:rsidRPr="00C71655">
        <w:t xml:space="preserve">Figure </w:t>
      </w:r>
      <w:fldSimple w:instr=" SEQ Figure \* ARABIC ">
        <w:r w:rsidR="0011566E" w:rsidRPr="00C71655">
          <w:rPr>
            <w:noProof/>
          </w:rPr>
          <w:t>1</w:t>
        </w:r>
      </w:fldSimple>
      <w:r w:rsidRPr="00C71655">
        <w:t xml:space="preserve"> Snapshot of Merged Raw Data</w:t>
      </w:r>
    </w:p>
    <w:p w:rsidR="007E5D8B" w:rsidRPr="00C71655" w:rsidRDefault="007E5D8B" w:rsidP="00C64881">
      <w:pPr>
        <w:tabs>
          <w:tab w:val="left" w:pos="6469"/>
        </w:tabs>
        <w:spacing w:line="480" w:lineRule="auto"/>
        <w:ind w:firstLine="567"/>
      </w:pPr>
      <w:r w:rsidRPr="00C71655">
        <w:t>Shanghai Stock Exchange changed the calculation method of IVIX in 2016, one year after they started publishing IVIX index. The second method is similar to the calculation method of VIX by CBOE, only that they are using different underlying options. To be consistent with the more recent data after 2018 and VIX in other markets, this paper uses the calculation method published in CBOE Whitebook of VIX index. According to the Whitebook, IVIX is designed to measure the market expected implied volatility of the target of 30 trading days derived from put and call options of SSE 50 ETF. To avoid the high volatility when maturity da</w:t>
      </w:r>
      <w:r w:rsidR="00B74820" w:rsidRPr="00C71655">
        <w:t>te</w:t>
      </w:r>
      <w:r w:rsidRPr="00C71655">
        <w:t xml:space="preserve"> is approaching, this paper</w:t>
      </w:r>
      <w:r w:rsidR="00B74820" w:rsidRPr="00C71655">
        <w:t xml:space="preserve"> </w:t>
      </w:r>
      <w:r w:rsidRPr="00C71655">
        <w:t>roll</w:t>
      </w:r>
      <w:r w:rsidR="00B74820" w:rsidRPr="00C71655">
        <w:t>s</w:t>
      </w:r>
      <w:r w:rsidRPr="00C71655">
        <w:t xml:space="preserve"> over to the set of options </w:t>
      </w:r>
      <w:r w:rsidR="00B74820" w:rsidRPr="00C71655">
        <w:t>in next period</w:t>
      </w:r>
      <w:r w:rsidR="00646659" w:rsidRPr="00C71655">
        <w:t xml:space="preserve"> if the near term options has maturity da</w:t>
      </w:r>
      <w:r w:rsidR="00B74820" w:rsidRPr="00C71655">
        <w:t>te</w:t>
      </w:r>
      <w:r w:rsidR="00646659" w:rsidRPr="00C71655">
        <w:t xml:space="preserve"> less than seven trading days.</w:t>
      </w:r>
    </w:p>
    <w:p w:rsidR="00C62D62" w:rsidRPr="00C71655" w:rsidRDefault="007E5D8B" w:rsidP="00C64881">
      <w:pPr>
        <w:tabs>
          <w:tab w:val="left" w:pos="6469"/>
        </w:tabs>
        <w:spacing w:line="480" w:lineRule="auto"/>
      </w:pPr>
      <w:r w:rsidRPr="00C71655">
        <w:t xml:space="preserve">The formula for calculating </w:t>
      </w:r>
      <w:r w:rsidR="003C4039" w:rsidRPr="00C71655">
        <w:t>implied volatility of near term option and next term option are</w:t>
      </w:r>
      <w:r w:rsidRPr="00C71655">
        <w:t xml:space="preserve"> listed below:</w:t>
      </w:r>
    </w:p>
    <w:p w:rsidR="00C62D62" w:rsidRPr="00C71655" w:rsidRDefault="0087272B" w:rsidP="00C62D62">
      <w:pPr>
        <w:tabs>
          <w:tab w:val="left" w:pos="6469"/>
        </w:tabs>
        <w:spacing w:line="360" w:lineRule="auto"/>
      </w:pPr>
      <m:oMathPara>
        <m:oMath>
          <m:sSubSup>
            <m:sSubSupPr>
              <m:ctrlPr>
                <w:rPr>
                  <w:rFonts w:ascii="Cambria Math" w:hAnsi="Cambria Math"/>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 xml:space="preserve">= </m:t>
          </m:r>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num>
                <m:den>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2</m:t>
                      </m:r>
                    </m:sup>
                  </m:sSubSup>
                </m:den>
              </m:f>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T</m:t>
                      </m:r>
                    </m:e>
                    <m:sub>
                      <m:r>
                        <w:rPr>
                          <w:rFonts w:ascii="Cambria Math" w:hAnsi="Cambria Math"/>
                        </w:rPr>
                        <m:t>1</m:t>
                      </m:r>
                    </m:sub>
                  </m:sSub>
                </m:sup>
              </m:sSup>
              <m:r>
                <w:rPr>
                  <w:rFonts w:ascii="Cambria Math" w:hAnsi="Cambria Math"/>
                </w:rPr>
                <m:t>Q</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m:t>
                      </m:r>
                    </m:sub>
                  </m:sSub>
                </m:e>
              </m:d>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1</m:t>
                              </m:r>
                            </m:sub>
                          </m:sSub>
                        </m:num>
                        <m:den>
                          <m:sSub>
                            <m:sSubPr>
                              <m:ctrlPr>
                                <w:rPr>
                                  <w:rFonts w:ascii="Cambria Math" w:hAnsi="Cambria Math"/>
                                  <w:i/>
                                </w:rPr>
                              </m:ctrlPr>
                            </m:sSubPr>
                            <m:e>
                              <m:r>
                                <w:rPr>
                                  <w:rFonts w:ascii="Cambria Math" w:hAnsi="Cambria Math"/>
                                </w:rPr>
                                <m:t>K</m:t>
                              </m:r>
                            </m:e>
                            <m:sub>
                              <m:r>
                                <w:rPr>
                                  <w:rFonts w:ascii="Cambria Math" w:hAnsi="Cambria Math"/>
                                </w:rPr>
                                <m:t>0</m:t>
                              </m:r>
                            </m:sub>
                          </m:sSub>
                        </m:den>
                      </m:f>
                      <m:r>
                        <w:rPr>
                          <w:rFonts w:ascii="Cambria Math" w:hAnsi="Cambria Math"/>
                        </w:rPr>
                        <m:t>-1</m:t>
                      </m:r>
                    </m:e>
                  </m:d>
                </m:e>
                <m:sup>
                  <m:r>
                    <w:rPr>
                      <w:rFonts w:ascii="Cambria Math" w:hAnsi="Cambria Math"/>
                    </w:rPr>
                    <m:t>2</m:t>
                  </m:r>
                </m:sup>
              </m:sSup>
            </m:e>
          </m:nary>
        </m:oMath>
      </m:oMathPara>
    </w:p>
    <w:p w:rsidR="00C62D62" w:rsidRPr="00C71655" w:rsidRDefault="0087272B" w:rsidP="00C62D62">
      <w:pPr>
        <w:tabs>
          <w:tab w:val="left" w:pos="6469"/>
        </w:tabs>
        <w:spacing w:line="360" w:lineRule="auto"/>
      </w:pPr>
      <m:oMathPara>
        <m:oMath>
          <m:sSubSup>
            <m:sSubSupPr>
              <m:ctrlPr>
                <w:rPr>
                  <w:rFonts w:ascii="Cambria Math" w:hAnsi="Cambria Math"/>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 xml:space="preserve">= </m:t>
          </m:r>
          <m:f>
            <m:fPr>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nary>
            <m:naryPr>
              <m:chr m:val="∑"/>
              <m:limLoc m:val="undOvr"/>
              <m:supHide m:val="1"/>
              <m:ctrlPr>
                <w:rPr>
                  <w:rFonts w:ascii="Cambria Math" w:hAnsi="Cambria Math"/>
                  <w:i/>
                </w:rPr>
              </m:ctrlPr>
            </m:naryPr>
            <m:sub>
              <m:r>
                <w:rPr>
                  <w:rFonts w:ascii="Cambria Math" w:hAnsi="Cambria Math"/>
                </w:rPr>
                <m:t>i</m:t>
              </m:r>
            </m:sub>
            <m:sup/>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m:t>
                      </m:r>
                    </m:sub>
                  </m:sSub>
                </m:num>
                <m:den>
                  <m:sSubSup>
                    <m:sSubSupPr>
                      <m:ctrlPr>
                        <w:rPr>
                          <w:rFonts w:ascii="Cambria Math" w:hAnsi="Cambria Math"/>
                          <w:i/>
                        </w:rPr>
                      </m:ctrlPr>
                    </m:sSubSupPr>
                    <m:e>
                      <m:r>
                        <w:rPr>
                          <w:rFonts w:ascii="Cambria Math" w:hAnsi="Cambria Math"/>
                        </w:rPr>
                        <m:t>K</m:t>
                      </m:r>
                    </m:e>
                    <m:sub>
                      <m:r>
                        <w:rPr>
                          <w:rFonts w:ascii="Cambria Math" w:hAnsi="Cambria Math"/>
                        </w:rPr>
                        <m:t>i</m:t>
                      </m:r>
                    </m:sub>
                    <m:sup>
                      <m:r>
                        <w:rPr>
                          <w:rFonts w:ascii="Cambria Math" w:hAnsi="Cambria Math"/>
                        </w:rPr>
                        <m:t>2</m:t>
                      </m:r>
                    </m:sup>
                  </m:sSubSup>
                </m:den>
              </m:f>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T</m:t>
                      </m:r>
                    </m:e>
                    <m:sub>
                      <m:r>
                        <w:rPr>
                          <w:rFonts w:ascii="Cambria Math" w:hAnsi="Cambria Math"/>
                        </w:rPr>
                        <m:t>2</m:t>
                      </m:r>
                    </m:sub>
                  </m:sSub>
                </m:sup>
              </m:sSup>
              <m:r>
                <w:rPr>
                  <w:rFonts w:ascii="Cambria Math" w:hAnsi="Cambria Math"/>
                </w:rPr>
                <m:t>Q</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m:t>
                      </m:r>
                    </m:sub>
                  </m:sSub>
                </m:e>
              </m:d>
              <m:r>
                <m:rPr>
                  <m:sty m:val="p"/>
                </m:rPr>
                <w:rPr>
                  <w:rFonts w:ascii="Cambria Math" w:hAnsi="Cambria Math"/>
                </w:rPr>
                <m:t>-</m:t>
              </m:r>
              <m:f>
                <m:fPr>
                  <m:ctrlPr>
                    <w:rPr>
                      <w:rFonts w:ascii="Cambria Math" w:hAnsi="Cambria Math"/>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2</m:t>
                              </m:r>
                            </m:sub>
                          </m:sSub>
                        </m:num>
                        <m:den>
                          <m:sSub>
                            <m:sSubPr>
                              <m:ctrlPr>
                                <w:rPr>
                                  <w:rFonts w:ascii="Cambria Math" w:hAnsi="Cambria Math"/>
                                  <w:i/>
                                </w:rPr>
                              </m:ctrlPr>
                            </m:sSubPr>
                            <m:e>
                              <m:r>
                                <w:rPr>
                                  <w:rFonts w:ascii="Cambria Math" w:hAnsi="Cambria Math"/>
                                </w:rPr>
                                <m:t>K</m:t>
                              </m:r>
                            </m:e>
                            <m:sub>
                              <m:r>
                                <w:rPr>
                                  <w:rFonts w:ascii="Cambria Math" w:hAnsi="Cambria Math"/>
                                </w:rPr>
                                <m:t>0</m:t>
                              </m:r>
                            </m:sub>
                          </m:sSub>
                        </m:den>
                      </m:f>
                      <m:r>
                        <w:rPr>
                          <w:rFonts w:ascii="Cambria Math" w:hAnsi="Cambria Math"/>
                        </w:rPr>
                        <m:t>-1</m:t>
                      </m:r>
                    </m:e>
                  </m:d>
                </m:e>
                <m:sup>
                  <m:r>
                    <w:rPr>
                      <w:rFonts w:ascii="Cambria Math" w:hAnsi="Cambria Math"/>
                    </w:rPr>
                    <m:t>2</m:t>
                  </m:r>
                </m:sup>
              </m:sSup>
            </m:e>
          </m:nary>
        </m:oMath>
      </m:oMathPara>
    </w:p>
    <w:p w:rsidR="00C62D62" w:rsidRPr="00C71655" w:rsidRDefault="00C62D62" w:rsidP="00C62D62">
      <w:pPr>
        <w:tabs>
          <w:tab w:val="left" w:pos="6469"/>
        </w:tabs>
        <w:spacing w:line="360" w:lineRule="auto"/>
      </w:pPr>
    </w:p>
    <w:p w:rsidR="00C62D62" w:rsidRPr="00C71655" w:rsidRDefault="00C64881" w:rsidP="00C62D62">
      <w:pPr>
        <w:tabs>
          <w:tab w:val="left" w:pos="6469"/>
        </w:tabs>
        <w:spacing w:line="360" w:lineRule="auto"/>
      </w:pPr>
      <w:r w:rsidRPr="00C71655">
        <w:rPr>
          <w:noProof/>
        </w:rPr>
        <mc:AlternateContent>
          <mc:Choice Requires="wps">
            <w:drawing>
              <wp:anchor distT="0" distB="0" distL="114300" distR="114300" simplePos="0" relativeHeight="251660288" behindDoc="0" locked="0" layoutInCell="1" allowOverlap="1" wp14:anchorId="0A515B9A" wp14:editId="6E33EC5F">
                <wp:simplePos x="0" y="0"/>
                <wp:positionH relativeFrom="column">
                  <wp:posOffset>-64770</wp:posOffset>
                </wp:positionH>
                <wp:positionV relativeFrom="paragraph">
                  <wp:posOffset>4226378</wp:posOffset>
                </wp:positionV>
                <wp:extent cx="5817982"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58179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57EE2A"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332.8pt" to="453pt,33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" strokecolor="black [3213]" strokeweight=".5pt">
                <v:stroke joinstyle="miter"/>
              </v:line>
            </w:pict>
          </mc:Fallback>
        </mc:AlternateContent>
      </w:r>
      <w:r w:rsidR="00C62D62" w:rsidRPr="00C71655">
        <w:rPr>
          <w:noProof/>
        </w:rPr>
        <mc:AlternateContent>
          <mc:Choice Requires="wps">
            <w:drawing>
              <wp:anchor distT="0" distB="0" distL="114300" distR="114300" simplePos="0" relativeHeight="251659264" behindDoc="0" locked="0" layoutInCell="1" allowOverlap="1" wp14:anchorId="5991D05A" wp14:editId="49F2FFEF">
                <wp:simplePos x="0" y="0"/>
                <wp:positionH relativeFrom="column">
                  <wp:posOffset>-48552</wp:posOffset>
                </wp:positionH>
                <wp:positionV relativeFrom="paragraph">
                  <wp:posOffset>85186</wp:posOffset>
                </wp:positionV>
                <wp:extent cx="5817982" cy="0"/>
                <wp:effectExtent l="0" t="0" r="11430" b="12700"/>
                <wp:wrapNone/>
                <wp:docPr id="1" name="Straight Connector 1"/>
                <wp:cNvGraphicFramePr/>
                <a:graphic xmlns:a="http://schemas.openxmlformats.org/drawingml/2006/main">
                  <a:graphicData uri="http://schemas.microsoft.com/office/word/2010/wordprocessingShape">
                    <wps:wsp>
                      <wps:cNvCnPr/>
                      <wps:spPr>
                        <a:xfrm>
                          <a:off x="0" y="0"/>
                          <a:ext cx="58179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2E79C2"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6.7pt" to="454.3pt,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" strokecolor="black [3213]" strokeweight=".5pt">
                <v:stroke joinstyle="miter"/>
              </v:line>
            </w:pict>
          </mc:Fallback>
        </mc:AlternateContent>
      </w:r>
    </w:p>
    <w:p w:rsidR="00C62D62" w:rsidRPr="00C71655" w:rsidRDefault="00C62D62" w:rsidP="00C64881">
      <w:pPr>
        <w:tabs>
          <w:tab w:val="left" w:pos="6469"/>
        </w:tabs>
        <w:spacing w:line="480" w:lineRule="auto"/>
      </w:pPr>
      <m:oMath>
        <m:r>
          <m:rPr>
            <m:sty m:val="p"/>
          </m:rPr>
          <w:rPr>
            <w:rFonts w:ascii="Cambria Math" w:hAnsi="Cambria Math"/>
          </w:rPr>
          <m:t>T —</m:t>
        </m:r>
      </m:oMath>
      <w:r w:rsidRPr="00C71655">
        <w:t xml:space="preserve"> Time to expiration</w:t>
      </w:r>
      <w:r w:rsidR="003C4039" w:rsidRPr="00C71655">
        <w:t>, computed by the total minutes from the transaction to the expiration day divided by the total minutes in a year</w:t>
      </w:r>
    </w:p>
    <w:p w:rsidR="003C4039" w:rsidRPr="00C71655" w:rsidRDefault="003C4039" w:rsidP="00C64881">
      <w:pPr>
        <w:spacing w:line="480" w:lineRule="auto"/>
      </w:pPr>
      <m:oMath>
        <m:r>
          <m:rPr>
            <m:sty m:val="p"/>
          </m:rPr>
          <w:rPr>
            <w:rFonts w:ascii="Cambria Math" w:hAnsi="Cambria Math"/>
          </w:rPr>
          <m:t xml:space="preserve">R — </m:t>
        </m:r>
      </m:oMath>
      <w:r w:rsidRPr="00C71655">
        <w:t>Risk-free interest rate to expiration. This paper uses SHIBOR for risk-free interest rate in the Chinese market(Shanghai Interbank Offered Rate)</w:t>
      </w:r>
    </w:p>
    <w:p w:rsidR="00C62D62" w:rsidRPr="00C71655" w:rsidRDefault="00C62D62" w:rsidP="00C64881">
      <w:pPr>
        <w:tabs>
          <w:tab w:val="left" w:pos="6469"/>
        </w:tabs>
        <w:spacing w:line="480" w:lineRule="auto"/>
      </w:pPr>
      <m:oMath>
        <m:r>
          <m:rPr>
            <m:sty m:val="p"/>
          </m:rPr>
          <w:rPr>
            <w:rFonts w:ascii="Cambria Math" w:hAnsi="Cambria Math"/>
          </w:rPr>
          <w:lastRenderedPageBreak/>
          <m:t xml:space="preserve">F — </m:t>
        </m:r>
      </m:oMath>
      <w:r w:rsidRPr="00C71655">
        <w:t>Forward index level derived from index option prices</w:t>
      </w:r>
      <w:r w:rsidR="003C4039" w:rsidRPr="00C71655">
        <w:t xml:space="preserve">. To compute it, this paper first identifies the strike price with smallest difference between call price and ask price, then applies the formula </w:t>
      </w:r>
      <m:oMath>
        <m:r>
          <m:rPr>
            <m:sty m:val="p"/>
          </m:rPr>
          <w:rPr>
            <w:rFonts w:ascii="Cambria Math" w:hAnsi="Cambria Math"/>
          </w:rPr>
          <m:t>F=Strike Price+</m:t>
        </m:r>
        <m:sSup>
          <m:sSupPr>
            <m:ctrlPr>
              <w:rPr>
                <w:rFonts w:ascii="Cambria Math" w:hAnsi="Cambria Math"/>
              </w:rPr>
            </m:ctrlPr>
          </m:sSupPr>
          <m:e>
            <m:r>
              <w:rPr>
                <w:rFonts w:ascii="Cambria Math" w:hAnsi="Cambria Math"/>
              </w:rPr>
              <m:t>e</m:t>
            </m:r>
          </m:e>
          <m:sup>
            <m:r>
              <w:rPr>
                <w:rFonts w:ascii="Cambria Math" w:hAnsi="Cambria Math"/>
              </w:rPr>
              <m:t>RT</m:t>
            </m:r>
          </m:sup>
        </m:sSup>
        <m:r>
          <w:rPr>
            <w:rFonts w:ascii="Cambria Math" w:hAnsi="Cambria Math"/>
          </w:rPr>
          <m:t>*(Call Price-Put Price)</m:t>
        </m:r>
      </m:oMath>
      <w:r w:rsidR="003C4039" w:rsidRPr="00C71655">
        <w:t>.</w:t>
      </w:r>
    </w:p>
    <w:p w:rsidR="00C62D62" w:rsidRPr="00C71655" w:rsidRDefault="0087272B" w:rsidP="00C64881">
      <w:pPr>
        <w:tabs>
          <w:tab w:val="left" w:pos="6469"/>
        </w:tabs>
        <w:spacing w:line="480" w:lineRule="auto"/>
      </w:pPr>
      <m:oMath>
        <m:sSub>
          <m:sSubPr>
            <m:ctrlPr>
              <w:rPr>
                <w:rFonts w:ascii="Cambria Math" w:hAnsi="Cambria Math"/>
              </w:rPr>
            </m:ctrlPr>
          </m:sSubPr>
          <m:e>
            <m:r>
              <w:rPr>
                <w:rFonts w:ascii="Cambria Math" w:hAnsi="Cambria Math"/>
              </w:rPr>
              <m:t>K</m:t>
            </m:r>
          </m:e>
          <m:sub>
            <m:r>
              <w:rPr>
                <w:rFonts w:ascii="Cambria Math" w:hAnsi="Cambria Math"/>
              </w:rPr>
              <m:t>0</m:t>
            </m:r>
          </m:sub>
        </m:sSub>
        <m:r>
          <m:rPr>
            <m:sty m:val="p"/>
          </m:rPr>
          <w:rPr>
            <w:rFonts w:ascii="Cambria Math" w:hAnsi="Cambria Math"/>
          </w:rPr>
          <m:t xml:space="preserve"> — </m:t>
        </m:r>
      </m:oMath>
      <w:r w:rsidR="00C62D62" w:rsidRPr="00C71655">
        <w:t>First strike below the forward index level F</w:t>
      </w:r>
    </w:p>
    <w:p w:rsidR="00C62D62" w:rsidRPr="00C71655" w:rsidRDefault="0087272B" w:rsidP="00C64881">
      <w:pPr>
        <w:tabs>
          <w:tab w:val="left" w:pos="6469"/>
        </w:tabs>
        <w:spacing w:line="480" w:lineRule="auto"/>
      </w:pPr>
      <m:oMath>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 xml:space="preserve"> — </m:t>
        </m:r>
      </m:oMath>
      <w:r w:rsidR="00C62D62" w:rsidRPr="00C71655">
        <w:t>Strike price of i</w:t>
      </w:r>
      <w:r w:rsidR="00C62D62" w:rsidRPr="00C71655">
        <w:rPr>
          <w:vertAlign w:val="superscript"/>
        </w:rPr>
        <w:t>th</w:t>
      </w:r>
      <w:r w:rsidR="00C62D62" w:rsidRPr="00C71655">
        <w:t xml:space="preserve"> out-of-the-money option</w:t>
      </w:r>
    </w:p>
    <w:p w:rsidR="00C62D62" w:rsidRPr="00C71655" w:rsidRDefault="0087272B" w:rsidP="00B74820">
      <w:pPr>
        <w:tabs>
          <w:tab w:val="left" w:pos="6469"/>
        </w:tabs>
        <w:spacing w:line="480" w:lineRule="auto"/>
      </w:pPr>
      <m:oMath>
        <m:sSub>
          <m:sSubPr>
            <m:ctrlPr>
              <w:rPr>
                <w:rFonts w:ascii="Cambria Math" w:hAnsi="Cambria Math"/>
              </w:rPr>
            </m:ctrlPr>
          </m:sSubPr>
          <m:e>
            <m:r>
              <w:rPr>
                <w:rFonts w:ascii="Cambria Math" w:hAnsi="Cambria Math"/>
              </w:rPr>
              <m:t>K</m:t>
            </m:r>
          </m:e>
          <m:sub>
            <m:r>
              <w:rPr>
                <w:rFonts w:ascii="Cambria Math" w:hAnsi="Cambria Math"/>
              </w:rPr>
              <m:t>i</m:t>
            </m:r>
          </m:sub>
        </m:sSub>
        <m:r>
          <m:rPr>
            <m:sty m:val="p"/>
          </m:rPr>
          <w:rPr>
            <w:rFonts w:ascii="Cambria Math" w:hAnsi="Cambria Math"/>
          </w:rPr>
          <m:t xml:space="preserve"> — </m:t>
        </m:r>
      </m:oMath>
      <w:r w:rsidR="00C62D62" w:rsidRPr="00C71655">
        <w:t>Interval between strike</w:t>
      </w:r>
      <w:r w:rsidR="003C4039" w:rsidRPr="00C71655">
        <w:t>, defined by</w:t>
      </w:r>
      <w:r w:rsidR="00C62D62" w:rsidRPr="00C71655">
        <w:t xml:space="preserve"> </w:t>
      </w:r>
      <m:oMath>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i-1</m:t>
                </m:r>
              </m:sub>
            </m:sSub>
          </m:num>
          <m:den>
            <m:r>
              <w:rPr>
                <w:rFonts w:ascii="Cambria Math" w:hAnsi="Cambria Math"/>
              </w:rPr>
              <m:t>2</m:t>
            </m:r>
          </m:den>
        </m:f>
      </m:oMath>
    </w:p>
    <w:p w:rsidR="00B74820" w:rsidRPr="00C71655" w:rsidRDefault="0087272B" w:rsidP="00B74820">
      <w:pPr>
        <w:tabs>
          <w:tab w:val="left" w:pos="6469"/>
        </w:tabs>
        <w:spacing w:line="480" w:lineRule="auto"/>
      </w:pPr>
      <m:oMath>
        <m:sSub>
          <m:sSubPr>
            <m:ctrlPr>
              <w:rPr>
                <w:rFonts w:ascii="Cambria Math" w:hAnsi="Cambria Math"/>
              </w:rPr>
            </m:ctrlPr>
          </m:sSubPr>
          <m:e>
            <m:r>
              <w:rPr>
                <w:rFonts w:ascii="Cambria Math" w:hAnsi="Cambria Math"/>
              </w:rPr>
              <m:t>Q(K</m:t>
            </m:r>
          </m:e>
          <m:sub>
            <m:r>
              <w:rPr>
                <w:rFonts w:ascii="Cambria Math" w:hAnsi="Cambria Math"/>
              </w:rPr>
              <m:t>i</m:t>
            </m:r>
          </m:sub>
        </m:sSub>
        <m:r>
          <m:rPr>
            <m:sty m:val="p"/>
          </m:rPr>
          <w:rPr>
            <w:rFonts w:ascii="Cambria Math" w:hAnsi="Cambria Math"/>
          </w:rPr>
          <m:t xml:space="preserve">) — </m:t>
        </m:r>
      </m:oMath>
      <w:r w:rsidR="00C62D62" w:rsidRPr="00C71655">
        <w:t>The midpoint of the bid-ask spread for each option with strike Ki</w:t>
      </w:r>
    </w:p>
    <w:p w:rsidR="00C62D62" w:rsidRPr="00C71655" w:rsidRDefault="00B74820" w:rsidP="00B74820">
      <w:pPr>
        <w:tabs>
          <w:tab w:val="left" w:pos="6469"/>
        </w:tabs>
        <w:spacing w:line="480" w:lineRule="auto"/>
      </w:pPr>
      <w:r w:rsidRPr="00C71655">
        <w:rPr>
          <w:noProof/>
        </w:rPr>
        <mc:AlternateContent>
          <mc:Choice Requires="wps">
            <w:drawing>
              <wp:anchor distT="0" distB="0" distL="114300" distR="114300" simplePos="0" relativeHeight="251673600" behindDoc="0" locked="0" layoutInCell="1" allowOverlap="1" wp14:anchorId="4BBEC8A0" wp14:editId="712380E8">
                <wp:simplePos x="0" y="0"/>
                <wp:positionH relativeFrom="column">
                  <wp:posOffset>-48552</wp:posOffset>
                </wp:positionH>
                <wp:positionV relativeFrom="paragraph">
                  <wp:posOffset>85186</wp:posOffset>
                </wp:positionV>
                <wp:extent cx="5817982" cy="0"/>
                <wp:effectExtent l="0" t="0" r="11430" b="12700"/>
                <wp:wrapNone/>
                <wp:docPr id="19" name="Straight Connector 19"/>
                <wp:cNvGraphicFramePr/>
                <a:graphic xmlns:a="http://schemas.openxmlformats.org/drawingml/2006/main">
                  <a:graphicData uri="http://schemas.microsoft.com/office/word/2010/wordprocessingShape">
                    <wps:wsp>
                      <wps:cNvCnPr/>
                      <wps:spPr>
                        <a:xfrm>
                          <a:off x="0" y="0"/>
                          <a:ext cx="58179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FB7010" id="Straight Connector 19"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pt,6.7pt" to="454.3pt,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" strokecolor="black [3213]" strokeweight=".5pt">
                <v:stroke joinstyle="miter"/>
              </v:line>
            </w:pict>
          </mc:Fallback>
        </mc:AlternateContent>
      </w:r>
    </w:p>
    <w:p w:rsidR="003C4039" w:rsidRPr="00C71655" w:rsidRDefault="003C4039" w:rsidP="00B74820">
      <w:pPr>
        <w:tabs>
          <w:tab w:val="left" w:pos="6469"/>
        </w:tabs>
        <w:spacing w:line="480" w:lineRule="auto"/>
      </w:pPr>
      <w:r w:rsidRPr="00C71655">
        <w:t xml:space="preserve">Since </w:t>
      </w:r>
      <m:oMath>
        <m:sSub>
          <m:sSubPr>
            <m:ctrlPr>
              <w:rPr>
                <w:rFonts w:ascii="Cambria Math" w:hAnsi="Cambria Math"/>
              </w:rPr>
            </m:ctrlPr>
          </m:sSubPr>
          <m:e>
            <m:r>
              <w:rPr>
                <w:rFonts w:ascii="Cambria Math" w:hAnsi="Cambria Math"/>
              </w:rPr>
              <m:t>σ</m:t>
            </m:r>
          </m:e>
          <m:sub>
            <m:r>
              <w:rPr>
                <w:rFonts w:ascii="Cambria Math" w:hAnsi="Cambria Math"/>
              </w:rPr>
              <m:t>1</m:t>
            </m:r>
          </m:sub>
        </m:sSub>
      </m:oMath>
      <w:r w:rsidRPr="00C71655">
        <w:t xml:space="preserve"> and </w:t>
      </w:r>
      <m:oMath>
        <m:sSub>
          <m:sSubPr>
            <m:ctrlPr>
              <w:rPr>
                <w:rFonts w:ascii="Cambria Math" w:hAnsi="Cambria Math"/>
              </w:rPr>
            </m:ctrlPr>
          </m:sSubPr>
          <m:e>
            <m:r>
              <w:rPr>
                <w:rFonts w:ascii="Cambria Math" w:hAnsi="Cambria Math"/>
              </w:rPr>
              <m:t>σ</m:t>
            </m:r>
          </m:e>
          <m:sub>
            <m:r>
              <w:rPr>
                <w:rFonts w:ascii="Cambria Math" w:hAnsi="Cambria Math"/>
              </w:rPr>
              <m:t>2</m:t>
            </m:r>
          </m:sub>
        </m:sSub>
      </m:oMath>
      <w:r w:rsidRPr="00C71655">
        <w:t xml:space="preserve"> denote the implied volatility of near term option and next term option respectively, the expected volatility target</w:t>
      </w:r>
      <w:r w:rsidR="00B74820" w:rsidRPr="00C71655">
        <w:t>ed</w:t>
      </w:r>
      <w:r w:rsidRPr="00C71655">
        <w:t xml:space="preserve"> at 30 trading days should be the weighted </w:t>
      </w:r>
      <w:r w:rsidR="00684770" w:rsidRPr="00C71655">
        <w:t xml:space="preserve">sum </w:t>
      </w:r>
      <w:r w:rsidRPr="00C71655">
        <w:t xml:space="preserve">of these two implied volatilities. </w:t>
      </w:r>
      <w:r w:rsidR="00684770" w:rsidRPr="00C71655">
        <w:t>Therefore, IVIX index could be calculated by the following equation:</w:t>
      </w:r>
    </w:p>
    <w:p w:rsidR="00684770" w:rsidRPr="00C71655" w:rsidRDefault="00684770" w:rsidP="00C62D62">
      <w:pPr>
        <w:tabs>
          <w:tab w:val="left" w:pos="6469"/>
        </w:tabs>
        <w:spacing w:line="360" w:lineRule="auto"/>
      </w:pPr>
      <m:oMathPara>
        <m:oMath>
          <m:r>
            <m:rPr>
              <m:sty m:val="p"/>
            </m:rPr>
            <w:rPr>
              <w:rFonts w:ascii="Cambria Math" w:hAnsi="Cambria Math"/>
            </w:rPr>
            <m:t>VIX=100*</m:t>
          </m:r>
          <m:rad>
            <m:radPr>
              <m:degHide m:val="1"/>
              <m:ctrlPr>
                <w:rPr>
                  <w:rFonts w:ascii="Cambria Math" w:hAnsi="Cambria Math"/>
                </w:rPr>
              </m:ctrlPr>
            </m:radPr>
            <m:deg/>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T</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30</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T</m:t>
                                      </m:r>
                                    </m:e>
                                    <m:sub>
                                      <m:r>
                                        <w:rPr>
                                          <w:rFonts w:ascii="Cambria Math" w:hAnsi="Cambria Math"/>
                                        </w:rPr>
                                        <m:t>2</m:t>
                                      </m:r>
                                    </m:sub>
                                  </m:sSub>
                                </m:sub>
                              </m:sSub>
                              <m:r>
                                <w:rPr>
                                  <w:rFonts w:ascii="Cambria Math" w:hAnsi="Cambria Math"/>
                                </w:rPr>
                                <m:t>-N</m:t>
                              </m:r>
                            </m:e>
                            <m:sub>
                              <m:sSub>
                                <m:sSubPr>
                                  <m:ctrlPr>
                                    <w:rPr>
                                      <w:rFonts w:ascii="Cambria Math" w:hAnsi="Cambria Math"/>
                                      <w:i/>
                                    </w:rPr>
                                  </m:ctrlPr>
                                </m:sSubPr>
                                <m:e>
                                  <m:r>
                                    <w:rPr>
                                      <w:rFonts w:ascii="Cambria Math" w:hAnsi="Cambria Math"/>
                                    </w:rPr>
                                    <m:t>T</m:t>
                                  </m:r>
                                </m:e>
                                <m:sub>
                                  <m:r>
                                    <w:rPr>
                                      <w:rFonts w:ascii="Cambria Math" w:hAnsi="Cambria Math"/>
                                    </w:rPr>
                                    <m:t>1</m:t>
                                  </m:r>
                                </m:sub>
                              </m:sSub>
                            </m:sub>
                          </m:sSub>
                        </m:den>
                      </m:f>
                    </m:e>
                  </m:d>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30</m:t>
                              </m:r>
                            </m:sub>
                          </m:sSub>
                          <m:r>
                            <w:rPr>
                              <w:rFonts w:ascii="Cambria Math" w:hAnsi="Cambria Math"/>
                            </w:rPr>
                            <m:t>-</m:t>
                          </m:r>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T</m:t>
                                  </m:r>
                                </m:e>
                                <m:sub>
                                  <m:r>
                                    <w:rPr>
                                      <w:rFonts w:ascii="Cambria Math" w:hAnsi="Cambria Math"/>
                                    </w:rPr>
                                    <m:t>1</m:t>
                                  </m:r>
                                </m:sub>
                              </m:sSub>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T</m:t>
                                      </m:r>
                                    </m:e>
                                    <m:sub>
                                      <m:r>
                                        <w:rPr>
                                          <w:rFonts w:ascii="Cambria Math" w:hAnsi="Cambria Math"/>
                                        </w:rPr>
                                        <m:t>2</m:t>
                                      </m:r>
                                    </m:sub>
                                  </m:sSub>
                                </m:sub>
                              </m:sSub>
                              <m:r>
                                <w:rPr>
                                  <w:rFonts w:ascii="Cambria Math" w:hAnsi="Cambria Math"/>
                                </w:rPr>
                                <m:t>-N</m:t>
                              </m:r>
                            </m:e>
                            <m:sub>
                              <m:sSub>
                                <m:sSubPr>
                                  <m:ctrlPr>
                                    <w:rPr>
                                      <w:rFonts w:ascii="Cambria Math" w:hAnsi="Cambria Math"/>
                                      <w:i/>
                                    </w:rPr>
                                  </m:ctrlPr>
                                </m:sSubPr>
                                <m:e>
                                  <m:r>
                                    <w:rPr>
                                      <w:rFonts w:ascii="Cambria Math" w:hAnsi="Cambria Math"/>
                                    </w:rPr>
                                    <m:t>T</m:t>
                                  </m:r>
                                </m:e>
                                <m:sub>
                                  <m:r>
                                    <w:rPr>
                                      <w:rFonts w:ascii="Cambria Math" w:hAnsi="Cambria Math"/>
                                    </w:rPr>
                                    <m:t>1</m:t>
                                  </m:r>
                                </m:sub>
                              </m:sSub>
                            </m:sub>
                          </m:sSub>
                        </m:den>
                      </m:f>
                    </m:e>
                  </m:d>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365</m:t>
                      </m:r>
                    </m:sub>
                  </m:sSub>
                </m:num>
                <m:den>
                  <m:sSub>
                    <m:sSubPr>
                      <m:ctrlPr>
                        <w:rPr>
                          <w:rFonts w:ascii="Cambria Math" w:hAnsi="Cambria Math"/>
                          <w:i/>
                        </w:rPr>
                      </m:ctrlPr>
                    </m:sSubPr>
                    <m:e>
                      <m:r>
                        <w:rPr>
                          <w:rFonts w:ascii="Cambria Math" w:hAnsi="Cambria Math"/>
                        </w:rPr>
                        <m:t>N</m:t>
                      </m:r>
                    </m:e>
                    <m:sub>
                      <m:r>
                        <w:rPr>
                          <w:rFonts w:ascii="Cambria Math" w:hAnsi="Cambria Math"/>
                        </w:rPr>
                        <m:t>30</m:t>
                      </m:r>
                    </m:sub>
                  </m:sSub>
                </m:den>
              </m:f>
            </m:e>
          </m:rad>
        </m:oMath>
      </m:oMathPara>
    </w:p>
    <w:p w:rsidR="00684770" w:rsidRPr="00C71655" w:rsidRDefault="00B74820" w:rsidP="00684770">
      <w:pPr>
        <w:tabs>
          <w:tab w:val="left" w:pos="6469"/>
        </w:tabs>
      </w:pPr>
      <w:r w:rsidRPr="00C71655">
        <w:rPr>
          <w:noProof/>
        </w:rPr>
        <mc:AlternateContent>
          <mc:Choice Requires="wps">
            <w:drawing>
              <wp:anchor distT="0" distB="0" distL="114300" distR="114300" simplePos="0" relativeHeight="251674624" behindDoc="0" locked="0" layoutInCell="1" allowOverlap="1" wp14:anchorId="0A3C5CD3" wp14:editId="48C1BEBA">
                <wp:simplePos x="0" y="0"/>
                <wp:positionH relativeFrom="column">
                  <wp:posOffset>-64770</wp:posOffset>
                </wp:positionH>
                <wp:positionV relativeFrom="paragraph">
                  <wp:posOffset>1604993</wp:posOffset>
                </wp:positionV>
                <wp:extent cx="5817870" cy="0"/>
                <wp:effectExtent l="0" t="0" r="11430" b="12700"/>
                <wp:wrapNone/>
                <wp:docPr id="18" name="Straight Connector 18"/>
                <wp:cNvGraphicFramePr/>
                <a:graphic xmlns:a="http://schemas.openxmlformats.org/drawingml/2006/main">
                  <a:graphicData uri="http://schemas.microsoft.com/office/word/2010/wordprocessingShape">
                    <wps:wsp>
                      <wps:cNvCnPr/>
                      <wps:spPr>
                        <a:xfrm>
                          <a:off x="0" y="0"/>
                          <a:ext cx="58178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F10C5B" id="Straight Connector 1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126.4pt" to="453pt,12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" strokecolor="black [3213]" strokeweight=".5pt">
                <v:stroke joinstyle="miter"/>
              </v:line>
            </w:pict>
          </mc:Fallback>
        </mc:AlternateContent>
      </w:r>
      <w:r w:rsidR="00684770" w:rsidRPr="00C71655">
        <w:rPr>
          <w:noProof/>
        </w:rPr>
        <mc:AlternateContent>
          <mc:Choice Requires="wps">
            <w:drawing>
              <wp:anchor distT="0" distB="0" distL="114300" distR="114300" simplePos="0" relativeHeight="251662336" behindDoc="0" locked="0" layoutInCell="1" allowOverlap="1" wp14:anchorId="04C22F92" wp14:editId="28A7A558">
                <wp:simplePos x="0" y="0"/>
                <wp:positionH relativeFrom="column">
                  <wp:posOffset>0</wp:posOffset>
                </wp:positionH>
                <wp:positionV relativeFrom="paragraph">
                  <wp:posOffset>0</wp:posOffset>
                </wp:positionV>
                <wp:extent cx="5817982" cy="0"/>
                <wp:effectExtent l="0" t="0" r="11430" b="12700"/>
                <wp:wrapNone/>
                <wp:docPr id="5" name="Straight Connector 5"/>
                <wp:cNvGraphicFramePr/>
                <a:graphic xmlns:a="http://schemas.openxmlformats.org/drawingml/2006/main">
                  <a:graphicData uri="http://schemas.microsoft.com/office/word/2010/wordprocessingShape">
                    <wps:wsp>
                      <wps:cNvCnPr/>
                      <wps:spPr>
                        <a:xfrm>
                          <a:off x="0" y="0"/>
                          <a:ext cx="58179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9C564C"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58.1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" strokecolor="black [3213]" strokeweight=".5pt">
                <v:stroke joinstyle="miter"/>
              </v:line>
            </w:pict>
          </mc:Fallback>
        </mc:AlternateContent>
      </w:r>
    </w:p>
    <w:p w:rsidR="00684770" w:rsidRPr="00C71655" w:rsidRDefault="0087272B" w:rsidP="00C64881">
      <w:pPr>
        <w:tabs>
          <w:tab w:val="left" w:pos="6469"/>
        </w:tabs>
        <w:spacing w:line="480" w:lineRule="auto"/>
      </w:pP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T</m:t>
                </m:r>
              </m:e>
              <m:sub>
                <m:r>
                  <w:rPr>
                    <w:rFonts w:ascii="Cambria Math" w:hAnsi="Cambria Math"/>
                  </w:rPr>
                  <m:t>1</m:t>
                </m:r>
              </m:sub>
            </m:sSub>
          </m:sub>
        </m:sSub>
      </m:oMath>
      <w:r w:rsidR="00684770" w:rsidRPr="00C71655">
        <w:t xml:space="preserve"> — total number of minutes to the settlements of the near-term option</w:t>
      </w:r>
    </w:p>
    <w:p w:rsidR="00684770" w:rsidRPr="00C71655" w:rsidRDefault="0087272B" w:rsidP="00C64881">
      <w:pPr>
        <w:tabs>
          <w:tab w:val="left" w:pos="6469"/>
        </w:tabs>
        <w:spacing w:line="480" w:lineRule="auto"/>
      </w:pP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T</m:t>
                </m:r>
              </m:e>
              <m:sub>
                <m:r>
                  <w:rPr>
                    <w:rFonts w:ascii="Cambria Math" w:hAnsi="Cambria Math"/>
                  </w:rPr>
                  <m:t>2</m:t>
                </m:r>
              </m:sub>
            </m:sSub>
          </m:sub>
        </m:sSub>
      </m:oMath>
      <w:r w:rsidR="00684770" w:rsidRPr="00C71655">
        <w:t xml:space="preserve"> — total number of minutes to the settlements of the next-term option</w:t>
      </w:r>
    </w:p>
    <w:p w:rsidR="00684770" w:rsidRPr="00C71655" w:rsidRDefault="0087272B" w:rsidP="00B74820">
      <w:pPr>
        <w:tabs>
          <w:tab w:val="left" w:pos="6469"/>
        </w:tabs>
        <w:spacing w:line="480" w:lineRule="auto"/>
      </w:pPr>
      <m:oMath>
        <m:sSub>
          <m:sSubPr>
            <m:ctrlPr>
              <w:rPr>
                <w:rFonts w:ascii="Cambria Math" w:hAnsi="Cambria Math"/>
                <w:i/>
              </w:rPr>
            </m:ctrlPr>
          </m:sSubPr>
          <m:e>
            <m:r>
              <w:rPr>
                <w:rFonts w:ascii="Cambria Math" w:hAnsi="Cambria Math"/>
              </w:rPr>
              <m:t>N</m:t>
            </m:r>
          </m:e>
          <m:sub>
            <m:r>
              <w:rPr>
                <w:rFonts w:ascii="Cambria Math" w:hAnsi="Cambria Math"/>
              </w:rPr>
              <m:t>30</m:t>
            </m:r>
          </m:sub>
        </m:sSub>
      </m:oMath>
      <w:r w:rsidR="00684770" w:rsidRPr="00C71655">
        <w:t xml:space="preserve"> — total number of minutes in 30 days</w:t>
      </w:r>
    </w:p>
    <w:p w:rsidR="00B74820" w:rsidRPr="00C71655" w:rsidRDefault="0087272B" w:rsidP="00B74820">
      <w:pPr>
        <w:tabs>
          <w:tab w:val="left" w:pos="6469"/>
        </w:tabs>
        <w:spacing w:line="480" w:lineRule="auto"/>
      </w:pPr>
      <m:oMath>
        <m:sSub>
          <m:sSubPr>
            <m:ctrlPr>
              <w:rPr>
                <w:rFonts w:ascii="Cambria Math" w:hAnsi="Cambria Math"/>
                <w:i/>
              </w:rPr>
            </m:ctrlPr>
          </m:sSubPr>
          <m:e>
            <m:r>
              <w:rPr>
                <w:rFonts w:ascii="Cambria Math" w:hAnsi="Cambria Math"/>
              </w:rPr>
              <m:t>N</m:t>
            </m:r>
          </m:e>
          <m:sub>
            <m:r>
              <w:rPr>
                <w:rFonts w:ascii="Cambria Math" w:hAnsi="Cambria Math"/>
              </w:rPr>
              <m:t>365</m:t>
            </m:r>
          </m:sub>
        </m:sSub>
      </m:oMath>
      <w:r w:rsidR="00684770" w:rsidRPr="00C71655">
        <w:t xml:space="preserve"> — total number of minutes in 365 days</w:t>
      </w:r>
    </w:p>
    <w:p w:rsidR="00B74820" w:rsidRPr="00C71655" w:rsidRDefault="00B74820" w:rsidP="00B74820">
      <w:pPr>
        <w:spacing w:line="480" w:lineRule="auto"/>
      </w:pPr>
    </w:p>
    <w:p w:rsidR="00AE1204" w:rsidRPr="00C71655" w:rsidRDefault="00AE1204" w:rsidP="0045182C">
      <w:pPr>
        <w:spacing w:line="480" w:lineRule="auto"/>
        <w:ind w:firstLine="720"/>
      </w:pPr>
      <w:r w:rsidRPr="00C71655">
        <w:t xml:space="preserve">The graph of </w:t>
      </w:r>
      <w:r w:rsidR="0045182C" w:rsidRPr="00C71655">
        <w:t xml:space="preserve">the computed </w:t>
      </w:r>
      <w:r w:rsidRPr="00C71655">
        <w:t xml:space="preserve">high frequency IVIX and SSE published IVIX is reported below. We could see that before 2016 when SSE changed the calculation method of IVIX, the posted IVIX is slightly larger than the calculated IVIX using CBOE method. After SSE changed the calculation method, the posted IVIX and high frequency IVIX correspond to each other. Although the general trend is very promising, there are significant spikes in the </w:t>
      </w:r>
      <w:r w:rsidRPr="00C71655">
        <w:lastRenderedPageBreak/>
        <w:t>calculated high frequency IVIX which cannot be ignored. It may due to the fact that SSE 50 ETF, similar to other options in the Chinese market, is not heavily traded. The data points are</w:t>
      </w:r>
      <w:r w:rsidR="0045182C" w:rsidRPr="00C71655">
        <w:t xml:space="preserve"> </w:t>
      </w:r>
      <w:r w:rsidRPr="00C71655">
        <w:t xml:space="preserve">sparse and a large proportion of trading minutes do not update new closing prices. To remove the negative effect, this paper applies smoothing functions in the data preprocessing </w:t>
      </w:r>
      <w:r w:rsidR="0045182C" w:rsidRPr="00C71655">
        <w:rPr>
          <w:noProof/>
        </w:rPr>
        <w:drawing>
          <wp:anchor distT="0" distB="0" distL="114300" distR="114300" simplePos="0" relativeHeight="251667456" behindDoc="0" locked="0" layoutInCell="1" allowOverlap="1" wp14:anchorId="172E9E7A" wp14:editId="72827234">
            <wp:simplePos x="0" y="0"/>
            <wp:positionH relativeFrom="margin">
              <wp:posOffset>-61595</wp:posOffset>
            </wp:positionH>
            <wp:positionV relativeFrom="paragraph">
              <wp:posOffset>1680271</wp:posOffset>
            </wp:positionV>
            <wp:extent cx="6096000" cy="22339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ilygraph.png"/>
                    <pic:cNvPicPr/>
                  </pic:nvPicPr>
                  <pic:blipFill rotWithShape="1">
                    <a:blip r:embed="rId9" cstate="print">
                      <a:extLst>
                        <a:ext uri="{28A0092B-C50C-407E-A947-70E740481C1C}">
                          <a14:useLocalDpi xmlns:a14="http://schemas.microsoft.com/office/drawing/2010/main" val="0"/>
                        </a:ext>
                      </a:extLst>
                    </a:blip>
                    <a:srcRect l="10190" t="11371" r="7929" b="7176"/>
                    <a:stretch/>
                  </pic:blipFill>
                  <pic:spPr bwMode="auto">
                    <a:xfrm>
                      <a:off x="0" y="0"/>
                      <a:ext cx="6096000"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1655">
        <w:t>process. The major code is attached in Appendix.</w:t>
      </w:r>
    </w:p>
    <w:p w:rsidR="00AE1204" w:rsidRPr="00C71655" w:rsidRDefault="00AE1204" w:rsidP="00AE1204">
      <w:pPr>
        <w:pStyle w:val="Caption"/>
        <w:jc w:val="center"/>
      </w:pPr>
      <w:r w:rsidRPr="00C71655">
        <w:t xml:space="preserve">Figure </w:t>
      </w:r>
      <w:fldSimple w:instr=" SEQ Figure \* ARABIC ">
        <w:r w:rsidR="0011566E" w:rsidRPr="00C71655">
          <w:rPr>
            <w:noProof/>
          </w:rPr>
          <w:t>2</w:t>
        </w:r>
      </w:fldSimple>
      <w:r w:rsidRPr="00C71655">
        <w:t xml:space="preserve"> High frequency IVIX and SSE published IVIX</w:t>
      </w:r>
    </w:p>
    <w:p w:rsidR="00633C7F" w:rsidRPr="00C71655" w:rsidRDefault="00633C7F" w:rsidP="00561C5B">
      <w:pPr>
        <w:spacing w:line="480" w:lineRule="auto"/>
        <w:rPr>
          <w:b/>
        </w:rPr>
      </w:pPr>
      <w:r w:rsidRPr="00C71655">
        <w:rPr>
          <w:b/>
        </w:rPr>
        <w:t>3.2 Measurements of other variables</w:t>
      </w:r>
    </w:p>
    <w:p w:rsidR="00DD5058" w:rsidRPr="00C71655" w:rsidRDefault="00DD5058" w:rsidP="00561C5B">
      <w:pPr>
        <w:pStyle w:val="ListParagraph"/>
        <w:numPr>
          <w:ilvl w:val="0"/>
          <w:numId w:val="12"/>
        </w:numPr>
        <w:spacing w:line="480" w:lineRule="auto"/>
        <w:rPr>
          <w:u w:val="single"/>
        </w:rPr>
      </w:pPr>
      <w:r w:rsidRPr="00C71655">
        <w:rPr>
          <w:u w:val="single"/>
        </w:rPr>
        <w:t>SSE 50 ETF returns:</w:t>
      </w:r>
    </w:p>
    <w:p w:rsidR="00DD5058" w:rsidRPr="00C71655" w:rsidRDefault="00DD5058" w:rsidP="00561C5B">
      <w:pPr>
        <w:pStyle w:val="ListParagraph"/>
        <w:spacing w:line="480" w:lineRule="auto"/>
      </w:pPr>
      <w:r w:rsidRPr="00C71655">
        <w:t>We apply log difference on the high frequency SSE 50 ETF close price as the underlying stock return, which is common practice when analyzing stock price.</w:t>
      </w:r>
    </w:p>
    <w:p w:rsidR="00DD5058" w:rsidRPr="00C71655" w:rsidRDefault="00633C7F" w:rsidP="0045182C">
      <w:pPr>
        <w:pStyle w:val="ListParagraph"/>
        <w:numPr>
          <w:ilvl w:val="0"/>
          <w:numId w:val="12"/>
        </w:numPr>
        <w:spacing w:line="480" w:lineRule="auto"/>
      </w:pPr>
      <w:r w:rsidRPr="00C71655">
        <w:rPr>
          <w:u w:val="single"/>
        </w:rPr>
        <w:t>Annualized realized volatility:</w:t>
      </w:r>
      <w:r w:rsidRPr="00C71655">
        <w:t xml:space="preserve"> </w:t>
      </w:r>
    </w:p>
    <w:p w:rsidR="00633C7F" w:rsidRPr="00C71655" w:rsidRDefault="00DD5058" w:rsidP="0045182C">
      <w:pPr>
        <w:pStyle w:val="ListParagraph"/>
        <w:spacing w:line="480" w:lineRule="auto"/>
      </w:pPr>
      <w:r w:rsidRPr="00C71655">
        <w:t>We first use the sum of squared returns in intraday level to acquire the daily realized volatility. We then annualize the variable by multiplying square root of 252 (there are approximately 252 trading days in a year) in order to make it the same scale with IVIX and GARCH(1,1) estimate.</w:t>
      </w:r>
    </w:p>
    <w:p w:rsidR="00DD5058" w:rsidRPr="00C71655" w:rsidRDefault="00DD5058" w:rsidP="0045182C">
      <w:pPr>
        <w:pStyle w:val="ListParagraph"/>
        <w:numPr>
          <w:ilvl w:val="0"/>
          <w:numId w:val="12"/>
        </w:numPr>
        <w:spacing w:line="480" w:lineRule="auto"/>
        <w:rPr>
          <w:u w:val="single"/>
        </w:rPr>
      </w:pPr>
      <w:r w:rsidRPr="00C71655">
        <w:rPr>
          <w:u w:val="single"/>
        </w:rPr>
        <w:t>GARCH(1,1) estimate</w:t>
      </w:r>
    </w:p>
    <w:p w:rsidR="00DD5058" w:rsidRPr="00C71655" w:rsidRDefault="00DD5058" w:rsidP="0045182C">
      <w:pPr>
        <w:spacing w:line="480" w:lineRule="auto"/>
        <w:ind w:left="720"/>
      </w:pPr>
      <w:r w:rsidRPr="00C71655">
        <w:t>GARCH is intensively used to estimate implied volatility</w:t>
      </w:r>
      <w:r w:rsidR="008630F8" w:rsidRPr="00C71655">
        <w:t>, especially GARCH(1,1) model (e.g. Heynen &amp; Kat 1994).</w:t>
      </w:r>
      <w:r w:rsidR="0045182C" w:rsidRPr="00C71655">
        <w:t xml:space="preserve"> We could obtain the GARCH estimate by </w:t>
      </w:r>
      <w:r w:rsidR="0045182C" w:rsidRPr="00C71655">
        <w:lastRenderedPageBreak/>
        <w:t>performing GARCH(1,1) model on high frequency returns. In this paper, we get the daily GARCH(1,1) estimate from Volatility Institute in NYU Shanghai.</w:t>
      </w:r>
    </w:p>
    <w:p w:rsidR="00DD5058" w:rsidRPr="00C71655" w:rsidRDefault="00DD5058" w:rsidP="0045182C">
      <w:pPr>
        <w:pStyle w:val="ListParagraph"/>
        <w:numPr>
          <w:ilvl w:val="0"/>
          <w:numId w:val="12"/>
        </w:numPr>
        <w:spacing w:line="480" w:lineRule="auto"/>
        <w:rPr>
          <w:u w:val="single"/>
        </w:rPr>
      </w:pPr>
      <w:r w:rsidRPr="00C71655">
        <w:rPr>
          <w:u w:val="single"/>
        </w:rPr>
        <w:t>Daily IVIX</w:t>
      </w:r>
    </w:p>
    <w:p w:rsidR="0045182C" w:rsidRPr="00C71655" w:rsidRDefault="0045182C" w:rsidP="0045182C">
      <w:pPr>
        <w:spacing w:line="480" w:lineRule="auto"/>
        <w:ind w:left="720"/>
      </w:pPr>
      <w:r w:rsidRPr="00C71655">
        <w:t>Daily IVIX is measured as the average of high frequency IVIX during that day.</w:t>
      </w:r>
    </w:p>
    <w:p w:rsidR="00AE1204" w:rsidRPr="00C71655" w:rsidRDefault="00AE1204" w:rsidP="00AE1204"/>
    <w:p w:rsidR="00C62D62" w:rsidRPr="0053519A" w:rsidRDefault="00C62D62" w:rsidP="00561C5B">
      <w:pPr>
        <w:pStyle w:val="ListParagraph"/>
        <w:numPr>
          <w:ilvl w:val="0"/>
          <w:numId w:val="13"/>
        </w:numPr>
        <w:spacing w:line="480" w:lineRule="auto"/>
        <w:rPr>
          <w:b/>
          <w:sz w:val="32"/>
        </w:rPr>
      </w:pPr>
      <w:r w:rsidRPr="0053519A">
        <w:rPr>
          <w:b/>
          <w:sz w:val="32"/>
        </w:rPr>
        <w:t>Methodology</w:t>
      </w:r>
    </w:p>
    <w:p w:rsidR="00704D15" w:rsidRPr="00C71655" w:rsidRDefault="00704D15" w:rsidP="00AA1FF8">
      <w:pPr>
        <w:spacing w:line="480" w:lineRule="auto"/>
        <w:ind w:firstLine="720"/>
      </w:pPr>
      <w:r w:rsidRPr="00C71655">
        <w:t>This paper is divided into t</w:t>
      </w:r>
      <w:r w:rsidR="00AA1FF8" w:rsidRPr="00C71655">
        <w:t>hree</w:t>
      </w:r>
      <w:r w:rsidRPr="00C71655">
        <w:t xml:space="preserve"> sections</w:t>
      </w:r>
      <w:r w:rsidR="00370E30" w:rsidRPr="00C71655">
        <w:t xml:space="preserve"> to answer the </w:t>
      </w:r>
      <w:r w:rsidR="00AA1FF8" w:rsidRPr="00C71655">
        <w:t xml:space="preserve">corresponding </w:t>
      </w:r>
      <w:r w:rsidR="00370E30" w:rsidRPr="00C71655">
        <w:t>research question</w:t>
      </w:r>
      <w:r w:rsidRPr="00C71655">
        <w:t xml:space="preserve">. </w:t>
      </w:r>
    </w:p>
    <w:p w:rsidR="00370E30" w:rsidRPr="00C71655" w:rsidRDefault="00370E30" w:rsidP="00AA1FF8">
      <w:pPr>
        <w:spacing w:line="480" w:lineRule="auto"/>
        <w:ind w:firstLine="720"/>
      </w:pPr>
      <w:r w:rsidRPr="00C71655">
        <w:rPr>
          <w:color w:val="000000" w:themeColor="text1"/>
        </w:rPr>
        <w:t xml:space="preserve">The first section focuses on the overall performance of high frequency IVIX and </w:t>
      </w:r>
      <w:r w:rsidR="00AC3948" w:rsidRPr="00C71655">
        <w:rPr>
          <w:color w:val="000000" w:themeColor="text1"/>
        </w:rPr>
        <w:t xml:space="preserve">its relationship with </w:t>
      </w:r>
      <w:r w:rsidRPr="00C71655">
        <w:rPr>
          <w:color w:val="000000" w:themeColor="text1"/>
        </w:rPr>
        <w:t xml:space="preserve">SSE 50 ETF. </w:t>
      </w:r>
      <w:r w:rsidRPr="00C71655">
        <w:t>This section mainly uses statistics and regression model</w:t>
      </w:r>
      <w:r w:rsidR="0045182C" w:rsidRPr="00C71655">
        <w:t>s</w:t>
      </w:r>
      <w:r w:rsidRPr="00C71655">
        <w:t xml:space="preserve"> for analysis. </w:t>
      </w:r>
      <w:r w:rsidR="00333649" w:rsidRPr="00C71655">
        <w:t>D</w:t>
      </w:r>
      <w:r w:rsidRPr="00C71655">
        <w:t>escriptive statistics</w:t>
      </w:r>
      <w:r w:rsidR="00333649" w:rsidRPr="00C71655">
        <w:t xml:space="preserve"> is used</w:t>
      </w:r>
      <w:r w:rsidRPr="00C71655">
        <w:t xml:space="preserve"> to summarize overall volatility level and its underlying asset</w:t>
      </w:r>
      <w:r w:rsidR="00057A9D" w:rsidRPr="00C71655">
        <w:t>s</w:t>
      </w:r>
      <w:r w:rsidRPr="00C71655">
        <w:t xml:space="preserve">. </w:t>
      </w:r>
      <w:r w:rsidR="00830AB4" w:rsidRPr="00C71655">
        <w:t>We use regression models in Giot (2005) to analyze the four effects. In each model, dummy variables are included to separate the impact of positive return and negative return.</w:t>
      </w:r>
    </w:p>
    <w:p w:rsidR="00AA1FF8" w:rsidRPr="00C71655" w:rsidRDefault="00AA1FF8" w:rsidP="00AA1FF8">
      <w:pPr>
        <w:spacing w:line="480" w:lineRule="auto"/>
        <w:ind w:firstLine="720"/>
      </w:pPr>
      <w:r w:rsidRPr="00C71655">
        <w:t xml:space="preserve">The second section analyzes the forecasting ability of daily IVIX and GARCH(1,1) estimate on future daily realized volatility. We use both univariate regression and multiple regression which are also used in Blaire et al.(2001) to compare the predictive performance of the two estimators. </w:t>
      </w:r>
    </w:p>
    <w:p w:rsidR="00C64881" w:rsidRPr="00C71655" w:rsidRDefault="00580E25" w:rsidP="007A10FE">
      <w:pPr>
        <w:spacing w:line="480" w:lineRule="auto"/>
        <w:ind w:firstLine="720"/>
      </w:pPr>
      <w:r w:rsidRPr="00C71655">
        <w:t xml:space="preserve">The </w:t>
      </w:r>
      <w:r w:rsidR="00AA1FF8" w:rsidRPr="00C71655">
        <w:t>third</w:t>
      </w:r>
      <w:r w:rsidRPr="00C71655">
        <w:t xml:space="preserve"> section compares the prediction performance of high frequency IVIX </w:t>
      </w:r>
      <w:r w:rsidR="007A10FE" w:rsidRPr="00C71655">
        <w:t xml:space="preserve">on future implied volatility </w:t>
      </w:r>
      <w:r w:rsidRPr="00C71655">
        <w:t xml:space="preserve">between traditional time series model </w:t>
      </w:r>
      <w:r w:rsidR="00830AB4" w:rsidRPr="00C71655">
        <w:t xml:space="preserve">ARIMA </w:t>
      </w:r>
      <w:r w:rsidRPr="00C71655">
        <w:t xml:space="preserve">and </w:t>
      </w:r>
      <w:r w:rsidR="00830AB4" w:rsidRPr="00C71655">
        <w:t>Deep</w:t>
      </w:r>
      <w:r w:rsidRPr="00C71655">
        <w:t xml:space="preserve"> Learning algorithm</w:t>
      </w:r>
      <w:r w:rsidR="00830AB4" w:rsidRPr="00C71655">
        <w:t xml:space="preserve"> LSTM</w:t>
      </w:r>
      <w:r w:rsidRPr="00C71655">
        <w:t xml:space="preserve">. </w:t>
      </w:r>
    </w:p>
    <w:p w:rsidR="00C62D62" w:rsidRPr="00C71655" w:rsidRDefault="00C62D62" w:rsidP="00C64881">
      <w:pPr>
        <w:pStyle w:val="ListParagraph"/>
        <w:numPr>
          <w:ilvl w:val="0"/>
          <w:numId w:val="11"/>
        </w:numPr>
        <w:spacing w:line="480" w:lineRule="auto"/>
      </w:pPr>
      <w:r w:rsidRPr="00C71655">
        <w:t>The first method is ARIMA(Auto</w:t>
      </w:r>
      <w:r w:rsidR="00033C68">
        <w:t>r</w:t>
      </w:r>
      <w:r w:rsidRPr="00C71655">
        <w:t>egressive Integrated Moving Average). This paper applies differencing method</w:t>
      </w:r>
      <w:r w:rsidR="00907E23" w:rsidRPr="00C71655">
        <w:t xml:space="preserve"> and then conducts Augmented Dickey-Fuller test</w:t>
      </w:r>
      <w:r w:rsidRPr="00C71655">
        <w:t xml:space="preserve"> to ensure that the high frequency </w:t>
      </w:r>
      <w:r w:rsidR="00333649" w:rsidRPr="00C71655">
        <w:t>I</w:t>
      </w:r>
      <w:r w:rsidRPr="00C71655">
        <w:t xml:space="preserve">VIX </w:t>
      </w:r>
      <w:r w:rsidR="00907E23" w:rsidRPr="00C71655">
        <w:t>is stationary</w:t>
      </w:r>
      <w:r w:rsidRPr="00C71655">
        <w:t>.</w:t>
      </w:r>
      <w:r w:rsidR="00907E23" w:rsidRPr="00C71655">
        <w:t xml:space="preserve"> </w:t>
      </w:r>
      <w:r w:rsidRPr="00C71655">
        <w:t>Then th</w:t>
      </w:r>
      <w:r w:rsidR="00333649" w:rsidRPr="00C71655">
        <w:t>is</w:t>
      </w:r>
      <w:r w:rsidRPr="00C71655">
        <w:t xml:space="preserve"> paper selects model using Box-Jenkins method. Plots of autocorrelation and partial autocorrelation </w:t>
      </w:r>
      <w:r w:rsidR="00333649" w:rsidRPr="00C71655">
        <w:t xml:space="preserve">are shown </w:t>
      </w:r>
      <w:r w:rsidRPr="00C71655">
        <w:t xml:space="preserve">to decide which component to use. After selecting model, the paper uses Bayesian </w:t>
      </w:r>
      <w:r w:rsidRPr="00C71655">
        <w:lastRenderedPageBreak/>
        <w:t xml:space="preserve">Information Criterion(BIC) to determine the order of ARIMA model. </w:t>
      </w:r>
      <w:r w:rsidR="00907E23" w:rsidRPr="00C71655">
        <w:t>The model is given by :</w:t>
      </w:r>
    </w:p>
    <w:p w:rsidR="00907E23" w:rsidRPr="00C71655" w:rsidRDefault="0087272B" w:rsidP="00907E23">
      <w:pPr>
        <w:spacing w:line="360" w:lineRule="auto"/>
      </w:pPr>
      <m:oMathPara>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sSub>
            <m:sSubPr>
              <m:ctrlPr>
                <w:rPr>
                  <w:rFonts w:ascii="Cambria Math" w:hAnsi="Cambria Math"/>
                  <w:i/>
                </w:rPr>
              </m:ctrlPr>
            </m:sSubPr>
            <m:e>
              <m:r>
                <w:rPr>
                  <w:rFonts w:ascii="Cambria Math" w:hAnsi="Cambria Math"/>
                </w:rPr>
                <m:t>V</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t-2</m:t>
              </m:r>
            </m:sub>
          </m:sSub>
          <m:r>
            <w:rPr>
              <w:rFonts w:ascii="Cambria Math" w:hAnsi="Cambria Math"/>
            </w:rPr>
            <m:t>+…+</m:t>
          </m:r>
          <m:sSub>
            <m:sSubPr>
              <m:ctrlPr>
                <w:rPr>
                  <w:rFonts w:ascii="Cambria Math" w:hAnsi="Cambria Math"/>
                  <w:i/>
                </w:rPr>
              </m:ctrlPr>
            </m:sSubPr>
            <m:e>
              <m:r>
                <w:rPr>
                  <w:rFonts w:ascii="Cambria Math" w:hAnsi="Cambria Math"/>
                </w:rPr>
                <m:t xml:space="preserve"> α</m:t>
              </m:r>
            </m:e>
            <m:sub>
              <m:r>
                <w:rPr>
                  <w:rFonts w:ascii="Cambria Math" w:hAnsi="Cambria Math"/>
                </w:rPr>
                <m:t>p</m:t>
              </m:r>
            </m:sub>
          </m:sSub>
          <m:sSub>
            <m:sSubPr>
              <m:ctrlPr>
                <w:rPr>
                  <w:rFonts w:ascii="Cambria Math" w:hAnsi="Cambria Math"/>
                  <w:i/>
                </w:rPr>
              </m:ctrlPr>
            </m:sSubPr>
            <m:e>
              <m:r>
                <w:rPr>
                  <w:rFonts w:ascii="Cambria Math" w:hAnsi="Cambria Math"/>
                </w:rPr>
                <m:t>V</m:t>
              </m:r>
            </m:e>
            <m:sub>
              <m:r>
                <w:rPr>
                  <w:rFonts w:ascii="Cambria Math" w:hAnsi="Cambria Math"/>
                </w:rPr>
                <m:t>t-p</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ϵ</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q</m:t>
              </m:r>
            </m:sub>
          </m:sSub>
          <m:sSub>
            <m:sSubPr>
              <m:ctrlPr>
                <w:rPr>
                  <w:rFonts w:ascii="Cambria Math" w:hAnsi="Cambria Math"/>
                  <w:i/>
                </w:rPr>
              </m:ctrlPr>
            </m:sSubPr>
            <m:e>
              <m:r>
                <w:rPr>
                  <w:rFonts w:ascii="Cambria Math" w:hAnsi="Cambria Math"/>
                </w:rPr>
                <m:t>ϵ</m:t>
              </m:r>
            </m:e>
            <m:sub>
              <m:r>
                <w:rPr>
                  <w:rFonts w:ascii="Cambria Math" w:hAnsi="Cambria Math"/>
                </w:rPr>
                <m:t>t-q</m:t>
              </m:r>
            </m:sub>
          </m:sSub>
        </m:oMath>
      </m:oMathPara>
    </w:p>
    <w:p w:rsidR="00907E23" w:rsidRPr="00C71655" w:rsidRDefault="00907E23" w:rsidP="00C64881">
      <w:pPr>
        <w:spacing w:line="480" w:lineRule="auto"/>
        <w:ind w:firstLine="720"/>
      </w:pPr>
      <w:r w:rsidRPr="00C71655">
        <w:t xml:space="preserve">Where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m:t>
            </m:r>
          </m:sub>
        </m:sSub>
      </m:oMath>
      <w:r w:rsidRPr="00C71655">
        <w:t xml:space="preserve"> denotes the high frequency IVIX at time t</w:t>
      </w:r>
    </w:p>
    <w:p w:rsidR="00907E23" w:rsidRPr="00C71655" w:rsidRDefault="0087272B" w:rsidP="00C64881">
      <w:pPr>
        <w:spacing w:line="480" w:lineRule="auto"/>
        <w:ind w:left="720" w:firstLine="720"/>
      </w:pPr>
      <m:oMath>
        <m:sSub>
          <m:sSubPr>
            <m:ctrlPr>
              <w:rPr>
                <w:rFonts w:ascii="Cambria Math" w:hAnsi="Cambria Math"/>
                <w:i/>
              </w:rPr>
            </m:ctrlPr>
          </m:sSubPr>
          <m:e>
            <m:r>
              <w:rPr>
                <w:rFonts w:ascii="Cambria Math" w:hAnsi="Cambria Math"/>
              </w:rPr>
              <m:t>ϵ</m:t>
            </m:r>
          </m:e>
          <m:sub>
            <m:r>
              <w:rPr>
                <w:rFonts w:ascii="Cambria Math" w:hAnsi="Cambria Math"/>
              </w:rPr>
              <m:t>t</m:t>
            </m:r>
          </m:sub>
        </m:sSub>
      </m:oMath>
      <w:r w:rsidR="00907E23" w:rsidRPr="00C71655">
        <w:t xml:space="preserve"> denotes the white noise series at time t</w:t>
      </w:r>
    </w:p>
    <w:p w:rsidR="00686432" w:rsidRPr="00C71655" w:rsidRDefault="00FF6EFF" w:rsidP="00C64881">
      <w:pPr>
        <w:pStyle w:val="ListParagraph"/>
        <w:numPr>
          <w:ilvl w:val="0"/>
          <w:numId w:val="11"/>
        </w:numPr>
        <w:spacing w:line="480" w:lineRule="auto"/>
      </w:pPr>
      <w:r w:rsidRPr="00C71655">
        <w:t xml:space="preserve">The second method is </w:t>
      </w:r>
      <w:r w:rsidR="00E75DE0" w:rsidRPr="00C71655">
        <w:t>called Long-Short Term Memory Model (LSTM)</w:t>
      </w:r>
      <w:r w:rsidRPr="00C71655">
        <w:t xml:space="preserve">. </w:t>
      </w:r>
      <w:r w:rsidR="00E75DE0" w:rsidRPr="00C71655">
        <w:t>LSTM is a recurrent neural network in Deep Learning field. For all recurrent neural networks</w:t>
      </w:r>
      <w:r w:rsidR="00686432" w:rsidRPr="00C71655">
        <w:t xml:space="preserve"> (RNN)</w:t>
      </w:r>
      <w:r w:rsidR="00E75DE0" w:rsidRPr="00C71655">
        <w:t>, they have the similar pattern below:</w:t>
      </w:r>
      <w:r w:rsidR="00686432" w:rsidRPr="00C71655">
        <w:t xml:space="preserve"> </w:t>
      </w:r>
    </w:p>
    <w:p w:rsidR="000F0A1F" w:rsidRPr="00C71655" w:rsidRDefault="00686432" w:rsidP="000F0A1F">
      <w:pPr>
        <w:pStyle w:val="ListParagraph"/>
        <w:keepNext/>
        <w:spacing w:line="360" w:lineRule="auto"/>
      </w:pPr>
      <w:r w:rsidRPr="00C71655">
        <w:rPr>
          <w:noProof/>
        </w:rPr>
        <w:drawing>
          <wp:inline distT="0" distB="0" distL="0" distR="0" wp14:anchorId="3985D07A" wp14:editId="5D9BB933">
            <wp:extent cx="5086350" cy="133136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8774" cy="1334613"/>
                    </a:xfrm>
                    <a:prstGeom prst="rect">
                      <a:avLst/>
                    </a:prstGeom>
                  </pic:spPr>
                </pic:pic>
              </a:graphicData>
            </a:graphic>
          </wp:inline>
        </w:drawing>
      </w:r>
    </w:p>
    <w:p w:rsidR="00686432" w:rsidRPr="00C71655" w:rsidRDefault="000F0A1F" w:rsidP="000F0A1F">
      <w:pPr>
        <w:pStyle w:val="Caption"/>
        <w:jc w:val="center"/>
      </w:pPr>
      <w:r w:rsidRPr="00C71655">
        <w:t xml:space="preserve">Figure </w:t>
      </w:r>
      <w:fldSimple w:instr=" SEQ Figure \* ARABIC ">
        <w:r w:rsidR="0011566E" w:rsidRPr="00C71655">
          <w:rPr>
            <w:noProof/>
          </w:rPr>
          <w:t>3</w:t>
        </w:r>
      </w:fldSimple>
      <w:r w:rsidRPr="00C71655">
        <w:t xml:space="preserve"> Structure of Recurrent Neural Network (RNN)</w:t>
      </w:r>
    </w:p>
    <w:p w:rsidR="00686432" w:rsidRPr="00C71655" w:rsidRDefault="00686432" w:rsidP="00C64881">
      <w:pPr>
        <w:pStyle w:val="ListParagraph"/>
        <w:spacing w:line="480" w:lineRule="auto"/>
      </w:pPr>
      <w:r w:rsidRPr="00C71655">
        <w:t xml:space="preserve">The green cell “A” on the graph denotes a chunk of neural network, containing neural structure to learn the pattern. The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t</m:t>
            </m:r>
          </m:sub>
        </m:sSub>
      </m:oMath>
      <w:r w:rsidRPr="00C71655">
        <w:t xml:space="preserve"> below denotes the input at different time and </w: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t</m:t>
            </m:r>
          </m:sub>
        </m:sSub>
      </m:oMath>
      <w:r w:rsidRPr="00C71655">
        <w:t xml:space="preserve"> denotes the output. As the graph implies, recurrent neural network takes the output of last period and pass</w:t>
      </w:r>
      <w:r w:rsidR="0053519A">
        <w:t>es</w:t>
      </w:r>
      <w:r w:rsidRPr="00C71655">
        <w:t xml:space="preserve"> it together with the new input into the next period. This feature allows the neural network to have a “memory” of past information and therefore has broad application in the field of speech recognition and machine translation. LSTM, as a typical example of RNN network, has the following specific structure in the cell “A”:</w:t>
      </w:r>
    </w:p>
    <w:p w:rsidR="000B7D10" w:rsidRPr="00C71655" w:rsidRDefault="000B7D10" w:rsidP="000B7D10">
      <w:pPr>
        <w:pStyle w:val="ListParagraph"/>
        <w:keepNext/>
        <w:spacing w:line="360" w:lineRule="auto"/>
      </w:pPr>
      <w:r w:rsidRPr="00C71655">
        <w:rPr>
          <w:noProof/>
        </w:rPr>
        <w:lastRenderedPageBreak/>
        <w:drawing>
          <wp:inline distT="0" distB="0" distL="0" distR="0" wp14:anchorId="619E41E3" wp14:editId="0F529E13">
            <wp:extent cx="5210510" cy="1959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24509" cy="1964693"/>
                    </a:xfrm>
                    <a:prstGeom prst="rect">
                      <a:avLst/>
                    </a:prstGeom>
                  </pic:spPr>
                </pic:pic>
              </a:graphicData>
            </a:graphic>
          </wp:inline>
        </w:drawing>
      </w:r>
    </w:p>
    <w:p w:rsidR="000B7D10" w:rsidRPr="00C71655" w:rsidRDefault="000B7D10" w:rsidP="000B7D10">
      <w:pPr>
        <w:pStyle w:val="Caption"/>
        <w:jc w:val="center"/>
      </w:pPr>
      <w:r w:rsidRPr="00C71655">
        <w:t xml:space="preserve">Figure </w:t>
      </w:r>
      <w:fldSimple w:instr=" SEQ Figure \* ARABIC ">
        <w:r w:rsidR="0011566E" w:rsidRPr="00C71655">
          <w:rPr>
            <w:noProof/>
          </w:rPr>
          <w:t>4</w:t>
        </w:r>
      </w:fldSimple>
      <w:r w:rsidRPr="00C71655">
        <w:t xml:space="preserve"> Structure of LSTM</w:t>
      </w:r>
    </w:p>
    <w:p w:rsidR="000B7D10" w:rsidRPr="00C71655" w:rsidRDefault="000B7D10" w:rsidP="00686432">
      <w:pPr>
        <w:pStyle w:val="ListParagraph"/>
        <w:spacing w:line="360" w:lineRule="auto"/>
      </w:pPr>
    </w:p>
    <w:p w:rsidR="000B7D10" w:rsidRPr="00C71655" w:rsidRDefault="000B7D10" w:rsidP="00C64881">
      <w:pPr>
        <w:pStyle w:val="ListParagraph"/>
        <w:spacing w:line="480" w:lineRule="auto"/>
      </w:pPr>
      <w:r w:rsidRPr="00C71655">
        <w:t xml:space="preserve">The upper line denotes the cell state, which can be understood as the long term memory of the model. It is carried through the model in different state and contains information about all the previous period. The yellow box denotes the sigmoid function transformation with an output of </w:t>
      </w:r>
      <m:oMath>
        <m:r>
          <m:rPr>
            <m:sty m:val="p"/>
          </m:rPr>
          <w:rPr>
            <w:rFonts w:ascii="Cambria Math" w:hAnsi="Cambria Math"/>
          </w:rPr>
          <m:t>[0,1]</m:t>
        </m:r>
      </m:oMath>
      <w:r w:rsidRPr="00C71655">
        <w:t xml:space="preserve">. This ensures that the output is squeezed to the range </w:t>
      </w:r>
      <m:oMath>
        <m:r>
          <m:rPr>
            <m:sty m:val="p"/>
          </m:rPr>
          <w:rPr>
            <w:rFonts w:ascii="Cambria Math" w:hAnsi="Cambria Math"/>
          </w:rPr>
          <m:t>[0,1]</m:t>
        </m:r>
      </m:oMath>
      <w:r w:rsidRPr="00C71655">
        <w:t>. In each cell A, there are three gates controlling the output and cell state at each period, corresponding to the short term and long term memory.</w:t>
      </w:r>
    </w:p>
    <w:p w:rsidR="000B7D10" w:rsidRPr="00C71655" w:rsidRDefault="000B7D10" w:rsidP="00C64881">
      <w:pPr>
        <w:pStyle w:val="ListParagraph"/>
        <w:numPr>
          <w:ilvl w:val="0"/>
          <w:numId w:val="4"/>
        </w:numPr>
        <w:spacing w:line="480" w:lineRule="auto"/>
      </w:pPr>
      <w:r w:rsidRPr="00C71655">
        <w:t>Forget gate: It applies a sigmoid function to the cell state from last period, in order to control how much of the “long term memory” should be thrown away. In this paper’s case, the long term memory is the long term volatility pattern.</w:t>
      </w:r>
    </w:p>
    <w:p w:rsidR="000B7D10" w:rsidRPr="00C71655" w:rsidRDefault="000B7D10" w:rsidP="00C64881">
      <w:pPr>
        <w:pStyle w:val="ListParagraph"/>
        <w:numPr>
          <w:ilvl w:val="0"/>
          <w:numId w:val="4"/>
        </w:numPr>
        <w:spacing w:line="480" w:lineRule="auto"/>
      </w:pPr>
      <w:r w:rsidRPr="00C71655">
        <w:t xml:space="preserve">Input gate: </w:t>
      </w:r>
      <w:r w:rsidR="007A193A" w:rsidRPr="00C71655">
        <w:t xml:space="preserve">It first applies a sigmoid function to the combination of output of last period and new input of this layer to obtain the “short term memory”. Then it applies an activation function with output range </w:t>
      </w:r>
      <m:oMath>
        <m:r>
          <m:rPr>
            <m:sty m:val="p"/>
          </m:rPr>
          <w:rPr>
            <w:rFonts w:ascii="Cambria Math" w:hAnsi="Cambria Math"/>
          </w:rPr>
          <m:t>[0,1]</m:t>
        </m:r>
      </m:oMath>
      <w:r w:rsidR="007A193A" w:rsidRPr="00C71655">
        <w:t xml:space="preserve"> to determine how much “short term memory” should be merged in the cell state, which is the “long term memory”. Intuitively, the IVIX level of last minute affects the IVIX level of next minute. Combined with IVIX pattern in the past, they are carried on to later predictions.</w:t>
      </w:r>
    </w:p>
    <w:p w:rsidR="000B7D10" w:rsidRPr="00C71655" w:rsidRDefault="007A193A" w:rsidP="00C64881">
      <w:pPr>
        <w:pStyle w:val="ListParagraph"/>
        <w:numPr>
          <w:ilvl w:val="0"/>
          <w:numId w:val="4"/>
        </w:numPr>
        <w:spacing w:line="480" w:lineRule="auto"/>
      </w:pPr>
      <w:r w:rsidRPr="00C71655">
        <w:lastRenderedPageBreak/>
        <w:t>Output gate: It applies a sigmoid function to the cell state to determine what’s the output of this period due to the current cell state.</w:t>
      </w:r>
    </w:p>
    <w:p w:rsidR="00C474B5" w:rsidRDefault="004C07E1" w:rsidP="0053519A">
      <w:pPr>
        <w:spacing w:line="480" w:lineRule="auto"/>
      </w:pPr>
      <w:r w:rsidRPr="00C71655">
        <w:t xml:space="preserve">This paper compares the result of the above two methods using Mean Absolute Error(MAE), Root Mean Square Error(RMSE) and also the </w:t>
      </w:r>
      <w:r w:rsidR="00580E25" w:rsidRPr="00C71655">
        <w:t>imbedded</w:t>
      </w:r>
      <w:r w:rsidRPr="00C71655">
        <w:t xml:space="preserve"> loss function in Deep Learning package.</w:t>
      </w:r>
    </w:p>
    <w:p w:rsidR="0053519A" w:rsidRPr="00C71655" w:rsidRDefault="0053519A" w:rsidP="0053519A">
      <w:pPr>
        <w:spacing w:line="480" w:lineRule="auto"/>
      </w:pPr>
    </w:p>
    <w:p w:rsidR="00C474B5" w:rsidRPr="0053519A" w:rsidRDefault="005E7955" w:rsidP="0053519A">
      <w:pPr>
        <w:pStyle w:val="ListParagraph"/>
        <w:numPr>
          <w:ilvl w:val="0"/>
          <w:numId w:val="13"/>
        </w:numPr>
        <w:spacing w:line="480" w:lineRule="auto"/>
        <w:rPr>
          <w:b/>
          <w:sz w:val="32"/>
        </w:rPr>
      </w:pPr>
      <w:r w:rsidRPr="0053519A">
        <w:rPr>
          <w:b/>
          <w:sz w:val="32"/>
        </w:rPr>
        <w:t>Relationship of IVIX and SSE 50 Return</w:t>
      </w:r>
    </w:p>
    <w:p w:rsidR="001047E3" w:rsidRPr="00C71655" w:rsidRDefault="0053519A" w:rsidP="001047E3">
      <w:r w:rsidRPr="00C71655">
        <w:rPr>
          <w:noProof/>
        </w:rPr>
        <w:drawing>
          <wp:inline distT="0" distB="0" distL="0" distR="0" wp14:anchorId="28D3810E" wp14:editId="550AD039">
            <wp:extent cx="5727700" cy="2268594"/>
            <wp:effectExtent l="0" t="0" r="12700" b="17780"/>
            <wp:docPr id="22" name="Chart 22">
              <a:extLst xmlns:a="http://schemas.openxmlformats.org/drawingml/2006/main">
                <a:ext uri="{FF2B5EF4-FFF2-40B4-BE49-F238E27FC236}">
                  <a16:creationId xmlns:a16="http://schemas.microsoft.com/office/drawing/2014/main" id="{0D98F9B7-0C10-5940-AF84-5A667CEB00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71035" w:rsidRPr="00C71655" w:rsidRDefault="00B71035" w:rsidP="004C07E1"/>
    <w:p w:rsidR="0071366A" w:rsidRPr="00C71655" w:rsidRDefault="00940222" w:rsidP="0053519A">
      <w:pPr>
        <w:spacing w:line="480" w:lineRule="auto"/>
        <w:ind w:firstLine="720"/>
      </w:pPr>
      <w:r w:rsidRPr="00C71655">
        <w:t>This paper focuses on more recent timeframe from July 1</w:t>
      </w:r>
      <w:r w:rsidRPr="00C71655">
        <w:rPr>
          <w:vertAlign w:val="superscript"/>
        </w:rPr>
        <w:t>st</w:t>
      </w:r>
      <w:r w:rsidRPr="00C71655">
        <w:t xml:space="preserve"> 2018 to September 22</w:t>
      </w:r>
      <w:r w:rsidRPr="00C71655">
        <w:rPr>
          <w:vertAlign w:val="superscript"/>
        </w:rPr>
        <w:t>nd</w:t>
      </w:r>
      <w:r w:rsidRPr="00C71655">
        <w:t xml:space="preserve"> 2019.</w:t>
      </w:r>
      <w:r w:rsidR="003E4BBF" w:rsidRPr="00C71655">
        <w:t xml:space="preserve"> </w:t>
      </w:r>
      <w:r w:rsidR="00B71035" w:rsidRPr="00C71655">
        <w:t xml:space="preserve">The above graph </w:t>
      </w:r>
      <w:r w:rsidR="003E4BBF" w:rsidRPr="00C71655">
        <w:t xml:space="preserve">provides an overview about the relationship of IVIX and the underlying SSE 50 Index in the sample period. The sample period can be divided as three parts. It first goes through a period of low-level SSE 50 Index. During the first half year of 2019 from January to April, </w:t>
      </w:r>
      <w:r w:rsidR="00FE4A9D" w:rsidRPr="00C71655">
        <w:t>it experiences a relatively large market growth and then stay</w:t>
      </w:r>
      <w:r w:rsidR="00057A9D" w:rsidRPr="00C71655">
        <w:t>s</w:t>
      </w:r>
      <w:r w:rsidR="00FE4A9D" w:rsidRPr="00C71655">
        <w:t xml:space="preserve"> around that level for the rest of the sample period. </w:t>
      </w:r>
      <w:r w:rsidRPr="00C71655">
        <w:t xml:space="preserve">Descriptive Statistics </w:t>
      </w:r>
      <w:r w:rsidR="00FE4A9D" w:rsidRPr="00C71655">
        <w:t xml:space="preserve">of IVIX, SSE 50 and its returns </w:t>
      </w:r>
      <w:r w:rsidRPr="00C71655">
        <w:t>are provided below.</w:t>
      </w:r>
      <w:r w:rsidR="00D42F56" w:rsidRPr="00C71655">
        <w:t xml:space="preserve"> </w:t>
      </w:r>
      <w:r w:rsidR="0071366A" w:rsidRPr="00C71655">
        <w:t xml:space="preserve">IVIX has an average level of 23.5, higher than CBOE VIX throughout the same period which has the average level of 16. The underlying SSE 50 ETF return has approximately zero mean. This may due to the fact that we are working with data at 1 minute frequency and the absolute change between minutes are small. Similar to most of </w:t>
      </w:r>
      <w:r w:rsidR="0071366A" w:rsidRPr="00C71655">
        <w:lastRenderedPageBreak/>
        <w:t xml:space="preserve">the literature, log difference is applied to </w:t>
      </w:r>
      <w:r w:rsidR="00057A9D" w:rsidRPr="00C71655">
        <w:t xml:space="preserve">stabilize the time series and </w:t>
      </w:r>
      <w:r w:rsidR="0071366A" w:rsidRPr="00C71655">
        <w:t>eliminate the right-skewness of both IVIX and SSE 50</w:t>
      </w:r>
      <w:r w:rsidR="001D5728" w:rsidRPr="00C71655">
        <w:t xml:space="preserve"> at the same time.</w:t>
      </w:r>
    </w:p>
    <w:p w:rsidR="0051780D" w:rsidRPr="00C71655" w:rsidRDefault="0051780D" w:rsidP="004C07E1"/>
    <w:tbl>
      <w:tblPr>
        <w:tblW w:w="9020" w:type="dxa"/>
        <w:tblLook w:val="04A0" w:firstRow="1" w:lastRow="0" w:firstColumn="1" w:lastColumn="0" w:noHBand="0" w:noVBand="1"/>
      </w:tblPr>
      <w:tblGrid>
        <w:gridCol w:w="2120"/>
        <w:gridCol w:w="1580"/>
        <w:gridCol w:w="1580"/>
        <w:gridCol w:w="1700"/>
        <w:gridCol w:w="2040"/>
      </w:tblGrid>
      <w:tr w:rsidR="001047E3" w:rsidRPr="00C71655" w:rsidTr="00D1111E">
        <w:trPr>
          <w:trHeight w:val="320"/>
        </w:trPr>
        <w:tc>
          <w:tcPr>
            <w:tcW w:w="2120" w:type="dxa"/>
            <w:tcBorders>
              <w:top w:val="single" w:sz="8" w:space="0" w:color="auto"/>
              <w:left w:val="nil"/>
              <w:bottom w:val="single" w:sz="4" w:space="0" w:color="auto"/>
              <w:right w:val="nil"/>
            </w:tcBorders>
            <w:shd w:val="clear" w:color="auto" w:fill="AEAAAA" w:themeFill="background2" w:themeFillShade="BF"/>
            <w:noWrap/>
            <w:vAlign w:val="bottom"/>
            <w:hideMark/>
          </w:tcPr>
          <w:p w:rsidR="001047E3" w:rsidRPr="00C71655" w:rsidRDefault="001047E3" w:rsidP="001047E3">
            <w:pPr>
              <w:jc w:val="center"/>
              <w:rPr>
                <w:i/>
                <w:iCs/>
                <w:color w:val="000000"/>
              </w:rPr>
            </w:pPr>
            <w:r w:rsidRPr="00C71655">
              <w:rPr>
                <w:i/>
                <w:iCs/>
                <w:color w:val="000000"/>
              </w:rPr>
              <w:t> </w:t>
            </w:r>
          </w:p>
        </w:tc>
        <w:tc>
          <w:tcPr>
            <w:tcW w:w="1580" w:type="dxa"/>
            <w:tcBorders>
              <w:top w:val="single" w:sz="8" w:space="0" w:color="auto"/>
              <w:left w:val="nil"/>
              <w:bottom w:val="single" w:sz="4" w:space="0" w:color="auto"/>
              <w:right w:val="nil"/>
            </w:tcBorders>
            <w:shd w:val="clear" w:color="auto" w:fill="AEAAAA" w:themeFill="background2" w:themeFillShade="BF"/>
            <w:noWrap/>
            <w:vAlign w:val="bottom"/>
            <w:hideMark/>
          </w:tcPr>
          <w:p w:rsidR="001047E3" w:rsidRPr="00C71655" w:rsidRDefault="001047E3" w:rsidP="001047E3">
            <w:pPr>
              <w:jc w:val="center"/>
              <w:rPr>
                <w:i/>
                <w:iCs/>
                <w:color w:val="000000"/>
              </w:rPr>
            </w:pPr>
            <w:r w:rsidRPr="00C71655">
              <w:rPr>
                <w:i/>
                <w:iCs/>
                <w:color w:val="000000"/>
              </w:rPr>
              <w:t>IVIX</w:t>
            </w:r>
          </w:p>
        </w:tc>
        <w:tc>
          <w:tcPr>
            <w:tcW w:w="1580" w:type="dxa"/>
            <w:tcBorders>
              <w:top w:val="single" w:sz="8" w:space="0" w:color="auto"/>
              <w:left w:val="nil"/>
              <w:bottom w:val="single" w:sz="4" w:space="0" w:color="auto"/>
              <w:right w:val="nil"/>
            </w:tcBorders>
            <w:shd w:val="clear" w:color="auto" w:fill="AEAAAA" w:themeFill="background2" w:themeFillShade="BF"/>
            <w:noWrap/>
            <w:vAlign w:val="bottom"/>
            <w:hideMark/>
          </w:tcPr>
          <w:p w:rsidR="001047E3" w:rsidRPr="00C71655" w:rsidRDefault="00FE4A9D" w:rsidP="001047E3">
            <w:pPr>
              <w:jc w:val="center"/>
              <w:rPr>
                <w:i/>
                <w:iCs/>
                <w:color w:val="000000"/>
              </w:rPr>
            </w:pPr>
            <w:r w:rsidRPr="00C71655">
              <w:rPr>
                <w:i/>
                <w:iCs/>
                <w:color w:val="000000"/>
              </w:rPr>
              <w:t xml:space="preserve">SSE </w:t>
            </w:r>
            <w:r w:rsidR="001047E3" w:rsidRPr="00C71655">
              <w:rPr>
                <w:i/>
                <w:iCs/>
                <w:color w:val="000000"/>
              </w:rPr>
              <w:t>50</w:t>
            </w:r>
          </w:p>
        </w:tc>
        <w:tc>
          <w:tcPr>
            <w:tcW w:w="1700" w:type="dxa"/>
            <w:tcBorders>
              <w:top w:val="single" w:sz="8" w:space="0" w:color="auto"/>
              <w:left w:val="nil"/>
              <w:bottom w:val="single" w:sz="4" w:space="0" w:color="auto"/>
              <w:right w:val="nil"/>
            </w:tcBorders>
            <w:shd w:val="clear" w:color="auto" w:fill="AEAAAA" w:themeFill="background2" w:themeFillShade="BF"/>
            <w:noWrap/>
            <w:vAlign w:val="bottom"/>
            <w:hideMark/>
          </w:tcPr>
          <w:p w:rsidR="001047E3" w:rsidRPr="00C71655" w:rsidRDefault="001047E3" w:rsidP="001047E3">
            <w:pPr>
              <w:jc w:val="center"/>
              <w:rPr>
                <w:i/>
                <w:iCs/>
                <w:color w:val="000000"/>
              </w:rPr>
            </w:pPr>
            <w:r w:rsidRPr="00C71655">
              <w:rPr>
                <w:i/>
                <w:iCs/>
                <w:color w:val="000000"/>
              </w:rPr>
              <w:t>50ETF Return</w:t>
            </w:r>
          </w:p>
        </w:tc>
        <w:tc>
          <w:tcPr>
            <w:tcW w:w="2040" w:type="dxa"/>
            <w:tcBorders>
              <w:top w:val="single" w:sz="8" w:space="0" w:color="auto"/>
              <w:left w:val="nil"/>
              <w:bottom w:val="single" w:sz="4" w:space="0" w:color="auto"/>
              <w:right w:val="nil"/>
            </w:tcBorders>
            <w:shd w:val="clear" w:color="auto" w:fill="AEAAAA" w:themeFill="background2" w:themeFillShade="BF"/>
            <w:noWrap/>
            <w:vAlign w:val="bottom"/>
            <w:hideMark/>
          </w:tcPr>
          <w:p w:rsidR="001047E3" w:rsidRPr="00C71655" w:rsidRDefault="001047E3" w:rsidP="001047E3">
            <w:pPr>
              <w:jc w:val="center"/>
              <w:rPr>
                <w:i/>
                <w:iCs/>
                <w:color w:val="000000"/>
              </w:rPr>
            </w:pPr>
            <w:r w:rsidRPr="00C71655">
              <w:rPr>
                <w:i/>
                <w:iCs/>
                <w:color w:val="000000"/>
              </w:rPr>
              <w:t>log 50ETF return</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Mean</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23.51214908</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2656.931013</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0.00646365</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0.000001032</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Standard Error</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0.017370125</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0.814253584</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0.00723612</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0.000001187</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Median</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23.03011877</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2693.9596</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-0.03</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-0.000004923</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Mode</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25.77494623</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2443.7585</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0.000000000</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Standard Deviation</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4.798683569</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224.9654603</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1.999055968</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0.000328044</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Sample Variance</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23.02736399</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50609.45835</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3.996224764</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0.000000108</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Kurtosis</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-0.396273316</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-1.519884451</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260.7241706</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253.124718682</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Skewness</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0.135766526</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0.071731333</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-1.812533856</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-1.797701101</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Range</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29.05126978</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797.0427</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162.4588</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0.025606928</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Minimum</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8.447256905</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2250.3639</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-90.9759</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-0.014098364</w:t>
            </w:r>
          </w:p>
        </w:tc>
      </w:tr>
      <w:tr w:rsidR="001047E3" w:rsidRPr="00C71655" w:rsidTr="001047E3">
        <w:trPr>
          <w:trHeight w:val="320"/>
        </w:trPr>
        <w:tc>
          <w:tcPr>
            <w:tcW w:w="2120" w:type="dxa"/>
            <w:tcBorders>
              <w:top w:val="nil"/>
              <w:left w:val="nil"/>
              <w:bottom w:val="nil"/>
              <w:right w:val="nil"/>
            </w:tcBorders>
            <w:shd w:val="clear" w:color="auto" w:fill="auto"/>
            <w:noWrap/>
            <w:vAlign w:val="bottom"/>
            <w:hideMark/>
          </w:tcPr>
          <w:p w:rsidR="001047E3" w:rsidRPr="00C71655" w:rsidRDefault="001047E3" w:rsidP="001047E3">
            <w:pPr>
              <w:rPr>
                <w:color w:val="000000"/>
              </w:rPr>
            </w:pPr>
            <w:r w:rsidRPr="00C71655">
              <w:rPr>
                <w:color w:val="000000"/>
              </w:rPr>
              <w:t>Maximum</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37.49852668</w:t>
            </w:r>
          </w:p>
        </w:tc>
        <w:tc>
          <w:tcPr>
            <w:tcW w:w="158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3047.4066</w:t>
            </w:r>
          </w:p>
        </w:tc>
        <w:tc>
          <w:tcPr>
            <w:tcW w:w="170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71.4829</w:t>
            </w:r>
          </w:p>
        </w:tc>
        <w:tc>
          <w:tcPr>
            <w:tcW w:w="2040" w:type="dxa"/>
            <w:tcBorders>
              <w:top w:val="nil"/>
              <w:left w:val="nil"/>
              <w:bottom w:val="nil"/>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0.011508564</w:t>
            </w:r>
          </w:p>
        </w:tc>
      </w:tr>
      <w:tr w:rsidR="001047E3" w:rsidRPr="00C71655" w:rsidTr="001047E3">
        <w:trPr>
          <w:trHeight w:val="340"/>
        </w:trPr>
        <w:tc>
          <w:tcPr>
            <w:tcW w:w="2120" w:type="dxa"/>
            <w:tcBorders>
              <w:top w:val="nil"/>
              <w:left w:val="nil"/>
              <w:bottom w:val="single" w:sz="8" w:space="0" w:color="auto"/>
              <w:right w:val="nil"/>
            </w:tcBorders>
            <w:shd w:val="clear" w:color="auto" w:fill="auto"/>
            <w:noWrap/>
            <w:vAlign w:val="bottom"/>
            <w:hideMark/>
          </w:tcPr>
          <w:p w:rsidR="001047E3" w:rsidRPr="00C71655" w:rsidRDefault="001047E3" w:rsidP="001047E3">
            <w:pPr>
              <w:rPr>
                <w:color w:val="000000"/>
              </w:rPr>
            </w:pPr>
            <w:r w:rsidRPr="00C71655">
              <w:rPr>
                <w:color w:val="000000"/>
              </w:rPr>
              <w:t>Count</w:t>
            </w:r>
          </w:p>
        </w:tc>
        <w:tc>
          <w:tcPr>
            <w:tcW w:w="1580" w:type="dxa"/>
            <w:tcBorders>
              <w:top w:val="nil"/>
              <w:left w:val="nil"/>
              <w:bottom w:val="single" w:sz="8" w:space="0" w:color="auto"/>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76320</w:t>
            </w:r>
          </w:p>
        </w:tc>
        <w:tc>
          <w:tcPr>
            <w:tcW w:w="1580" w:type="dxa"/>
            <w:tcBorders>
              <w:top w:val="nil"/>
              <w:left w:val="nil"/>
              <w:bottom w:val="single" w:sz="8" w:space="0" w:color="auto"/>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76320</w:t>
            </w:r>
          </w:p>
        </w:tc>
        <w:tc>
          <w:tcPr>
            <w:tcW w:w="1700" w:type="dxa"/>
            <w:tcBorders>
              <w:top w:val="nil"/>
              <w:left w:val="nil"/>
              <w:bottom w:val="single" w:sz="8" w:space="0" w:color="auto"/>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76320</w:t>
            </w:r>
          </w:p>
        </w:tc>
        <w:tc>
          <w:tcPr>
            <w:tcW w:w="2040" w:type="dxa"/>
            <w:tcBorders>
              <w:top w:val="nil"/>
              <w:left w:val="nil"/>
              <w:bottom w:val="single" w:sz="8" w:space="0" w:color="auto"/>
              <w:right w:val="nil"/>
            </w:tcBorders>
            <w:shd w:val="clear" w:color="auto" w:fill="auto"/>
            <w:noWrap/>
            <w:vAlign w:val="bottom"/>
            <w:hideMark/>
          </w:tcPr>
          <w:p w:rsidR="001047E3" w:rsidRPr="00C71655" w:rsidRDefault="001047E3" w:rsidP="001047E3">
            <w:pPr>
              <w:jc w:val="right"/>
              <w:rPr>
                <w:color w:val="000000"/>
              </w:rPr>
            </w:pPr>
            <w:r w:rsidRPr="00C71655">
              <w:rPr>
                <w:color w:val="000000"/>
              </w:rPr>
              <w:t>76320</w:t>
            </w:r>
          </w:p>
        </w:tc>
      </w:tr>
    </w:tbl>
    <w:p w:rsidR="001047E3" w:rsidRPr="00C71655" w:rsidRDefault="001047E3" w:rsidP="00E75DE0">
      <w:pPr>
        <w:pStyle w:val="ListParagraph"/>
        <w:spacing w:line="360" w:lineRule="auto"/>
      </w:pPr>
    </w:p>
    <w:p w:rsidR="00ED423C" w:rsidRPr="0053519A" w:rsidRDefault="00EF1FD7" w:rsidP="0053519A">
      <w:pPr>
        <w:pStyle w:val="ListParagraph"/>
        <w:numPr>
          <w:ilvl w:val="1"/>
          <w:numId w:val="13"/>
        </w:numPr>
        <w:spacing w:line="480" w:lineRule="auto"/>
        <w:rPr>
          <w:b/>
        </w:rPr>
      </w:pPr>
      <w:r w:rsidRPr="0053519A">
        <w:rPr>
          <w:b/>
        </w:rPr>
        <w:t>Negative</w:t>
      </w:r>
      <w:r w:rsidR="00CD2D90" w:rsidRPr="0053519A">
        <w:rPr>
          <w:b/>
        </w:rPr>
        <w:t xml:space="preserve"> Effect:</w:t>
      </w:r>
    </w:p>
    <w:p w:rsidR="00273B0A" w:rsidRPr="00C71655" w:rsidRDefault="001D1FDA" w:rsidP="00471F77">
      <w:pPr>
        <w:spacing w:line="480" w:lineRule="auto"/>
        <w:ind w:firstLine="720"/>
      </w:pPr>
      <w:r w:rsidRPr="00C71655">
        <w:rPr>
          <w:iCs/>
        </w:rPr>
        <w:t xml:space="preserve">The negative relation between contemporaneous underlying return VIX is </w:t>
      </w:r>
      <w:r w:rsidR="00471F77" w:rsidRPr="00C71655">
        <w:rPr>
          <w:iCs/>
        </w:rPr>
        <w:t>broadly studied</w:t>
      </w:r>
      <w:r w:rsidRPr="00C71655">
        <w:rPr>
          <w:iCs/>
        </w:rPr>
        <w:t xml:space="preserve"> by </w:t>
      </w:r>
      <w:r w:rsidR="00264A3C" w:rsidRPr="00C71655">
        <w:rPr>
          <w:iCs/>
        </w:rPr>
        <w:t>many</w:t>
      </w:r>
      <w:r w:rsidRPr="00C71655">
        <w:rPr>
          <w:iCs/>
        </w:rPr>
        <w:t xml:space="preserve"> scholars at both low and high frequency (e.g.  Whaley (2000), Bollerslev et al.(2007),</w:t>
      </w:r>
      <w:r w:rsidRPr="00C71655">
        <w:t xml:space="preserve"> Hibbert (2008)</w:t>
      </w:r>
      <w:r w:rsidRPr="00C71655">
        <w:rPr>
          <w:iCs/>
        </w:rPr>
        <w:t xml:space="preserve">). Due to this feature, VIX is therefore considered as “fear index”. </w:t>
      </w:r>
      <w:r w:rsidR="00415D3F" w:rsidRPr="00C71655">
        <w:rPr>
          <w:iCs/>
        </w:rPr>
        <w:t xml:space="preserve">To test the existence of negative effects in the Chinese market, </w:t>
      </w:r>
      <w:r w:rsidR="00415D3F" w:rsidRPr="00C71655">
        <w:t>t</w:t>
      </w:r>
      <w:r w:rsidR="00273B0A" w:rsidRPr="00C71655">
        <w:t>his paper conduct</w:t>
      </w:r>
      <w:r w:rsidR="00785762">
        <w:t>s</w:t>
      </w:r>
      <w:r w:rsidR="00273B0A" w:rsidRPr="00C71655">
        <w:t xml:space="preserve"> similar test</w:t>
      </w:r>
      <w:r w:rsidR="00785762">
        <w:t>s</w:t>
      </w:r>
      <w:r w:rsidR="00273B0A" w:rsidRPr="00C71655">
        <w:t xml:space="preserve"> </w:t>
      </w:r>
      <w:r w:rsidR="00DD00C4" w:rsidRPr="00C71655">
        <w:t xml:space="preserve">as Hibbert (2008) </w:t>
      </w:r>
      <w:r w:rsidR="00CB0552" w:rsidRPr="00C71655">
        <w:t xml:space="preserve">by regressing contemporaneous IVIX and its underlying asset return </w:t>
      </w:r>
      <w:r w:rsidR="00DD00C4" w:rsidRPr="00C71655">
        <w:t>on the intraday data as below.</w:t>
      </w:r>
    </w:p>
    <w:p w:rsidR="00415D3F" w:rsidRPr="00C71655" w:rsidRDefault="0087272B" w:rsidP="004960FD">
      <w:pPr>
        <w:spacing w:line="480" w:lineRule="auto"/>
        <w:rPr>
          <w:iCs/>
        </w:rPr>
      </w:pPr>
      <m:oMathPara>
        <m:oMath>
          <m:sSub>
            <m:sSubPr>
              <m:ctrlPr>
                <w:rPr>
                  <w:rFonts w:ascii="Cambria Math" w:hAnsi="Cambria Math"/>
                  <w:i/>
                  <w:iCs/>
                </w:rPr>
              </m:ctrlPr>
            </m:sSubPr>
            <m:e>
              <m:r>
                <w:rPr>
                  <w:rFonts w:ascii="Cambria Math" w:hAnsi="Cambria Math"/>
                </w:rPr>
                <m:t>r</m:t>
              </m:r>
            </m:e>
            <m:sub>
              <m:r>
                <w:rPr>
                  <w:rFonts w:ascii="Cambria Math" w:hAnsi="Cambria Math"/>
                </w:rPr>
                <m:t>IVIX,t</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0</m:t>
              </m:r>
            </m:sub>
          </m:sSub>
          <m:r>
            <w:rPr>
              <w:rFonts w:ascii="Cambria Math" w:hAnsi="Cambria Math"/>
            </w:rPr>
            <m:t>+</m:t>
          </m:r>
          <m:sSub>
            <m:sSubPr>
              <m:ctrlPr>
                <w:rPr>
                  <w:rFonts w:ascii="Cambria Math" w:hAnsi="Cambria Math"/>
                  <w:i/>
                  <w:iCs/>
                </w:rPr>
              </m:ctrlPr>
            </m:sSubPr>
            <m:e>
              <m:r>
                <w:rPr>
                  <w:rFonts w:ascii="Cambria Math" w:hAnsi="Cambria Math"/>
                </w:rPr>
                <m:t>α</m:t>
              </m:r>
            </m:e>
            <m:sub>
              <m:r>
                <w:rPr>
                  <w:rFonts w:ascii="Cambria Math" w:hAnsi="Cambria Math"/>
                </w:rPr>
                <m:t>1</m:t>
              </m:r>
            </m:sub>
          </m:sSub>
          <m:sSub>
            <m:sSubPr>
              <m:ctrlPr>
                <w:rPr>
                  <w:rFonts w:ascii="Cambria Math" w:hAnsi="Cambria Math"/>
                  <w:i/>
                  <w:iCs/>
                </w:rPr>
              </m:ctrlPr>
            </m:sSubPr>
            <m:e>
              <m:r>
                <w:rPr>
                  <w:rFonts w:ascii="Cambria Math" w:hAnsi="Cambria Math"/>
                </w:rPr>
                <m:t>r</m:t>
              </m:r>
            </m:e>
            <m:sub>
              <m:r>
                <w:rPr>
                  <w:rFonts w:ascii="Cambria Math" w:hAnsi="Cambria Math"/>
                </w:rPr>
                <m:t>ETF,t</m:t>
              </m:r>
            </m:sub>
          </m:sSub>
          <m:r>
            <w:rPr>
              <w:rFonts w:ascii="Cambria Math" w:hAnsi="Cambria Math"/>
            </w:rPr>
            <m:t>+</m:t>
          </m:r>
          <m:sSub>
            <m:sSubPr>
              <m:ctrlPr>
                <w:rPr>
                  <w:rFonts w:ascii="Cambria Math" w:hAnsi="Cambria Math"/>
                  <w:i/>
                  <w:iCs/>
                </w:rPr>
              </m:ctrlPr>
            </m:sSubPr>
            <m:e>
              <m:r>
                <w:rPr>
                  <w:rFonts w:ascii="Cambria Math" w:hAnsi="Cambria Math"/>
                </w:rPr>
                <m:t>ϵ</m:t>
              </m:r>
            </m:e>
            <m:sub>
              <m:r>
                <w:rPr>
                  <w:rFonts w:ascii="Cambria Math" w:hAnsi="Cambria Math"/>
                </w:rPr>
                <m:t>t</m:t>
              </m:r>
            </m:sub>
          </m:sSub>
        </m:oMath>
      </m:oMathPara>
    </w:p>
    <w:tbl>
      <w:tblPr>
        <w:tblpPr w:leftFromText="180" w:rightFromText="180" w:vertAnchor="text" w:horzAnchor="margin" w:tblpYSpec="inside"/>
        <w:tblW w:w="9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81"/>
        <w:gridCol w:w="1882"/>
        <w:gridCol w:w="1881"/>
        <w:gridCol w:w="1882"/>
      </w:tblGrid>
      <w:tr w:rsidR="00415D3F" w:rsidRPr="00C71655" w:rsidTr="00415D3F">
        <w:trPr>
          <w:trHeight w:val="320"/>
        </w:trPr>
        <w:tc>
          <w:tcPr>
            <w:tcW w:w="1881" w:type="dxa"/>
            <w:shd w:val="clear" w:color="auto" w:fill="AEAAAA" w:themeFill="background2" w:themeFillShade="BF"/>
            <w:noWrap/>
            <w:vAlign w:val="bottom"/>
            <w:hideMark/>
          </w:tcPr>
          <w:p w:rsidR="00415D3F" w:rsidRPr="00C71655" w:rsidRDefault="00415D3F" w:rsidP="00415D3F">
            <w:pPr>
              <w:jc w:val="center"/>
              <w:rPr>
                <w:iCs/>
                <w:color w:val="000000"/>
              </w:rPr>
            </w:pPr>
          </w:p>
        </w:tc>
        <w:tc>
          <w:tcPr>
            <w:tcW w:w="1881" w:type="dxa"/>
            <w:shd w:val="clear" w:color="auto" w:fill="AEAAAA" w:themeFill="background2" w:themeFillShade="BF"/>
            <w:noWrap/>
            <w:vAlign w:val="bottom"/>
            <w:hideMark/>
          </w:tcPr>
          <w:p w:rsidR="00415D3F" w:rsidRPr="00C71655" w:rsidRDefault="00415D3F" w:rsidP="00415D3F">
            <w:pPr>
              <w:jc w:val="center"/>
              <w:rPr>
                <w:iCs/>
                <w:color w:val="000000"/>
              </w:rPr>
            </w:pPr>
            <w:r w:rsidRPr="00C71655">
              <w:rPr>
                <w:iCs/>
                <w:color w:val="000000"/>
              </w:rPr>
              <w:t>Coefficients</w:t>
            </w:r>
          </w:p>
        </w:tc>
        <w:tc>
          <w:tcPr>
            <w:tcW w:w="1882" w:type="dxa"/>
            <w:shd w:val="clear" w:color="auto" w:fill="AEAAAA" w:themeFill="background2" w:themeFillShade="BF"/>
            <w:noWrap/>
            <w:vAlign w:val="bottom"/>
            <w:hideMark/>
          </w:tcPr>
          <w:p w:rsidR="00415D3F" w:rsidRPr="00C71655" w:rsidRDefault="00415D3F" w:rsidP="00415D3F">
            <w:pPr>
              <w:jc w:val="center"/>
              <w:rPr>
                <w:iCs/>
                <w:color w:val="000000"/>
              </w:rPr>
            </w:pPr>
            <w:r w:rsidRPr="00C71655">
              <w:rPr>
                <w:iCs/>
                <w:color w:val="000000"/>
              </w:rPr>
              <w:t>Standard Error</w:t>
            </w:r>
          </w:p>
        </w:tc>
        <w:tc>
          <w:tcPr>
            <w:tcW w:w="1881" w:type="dxa"/>
            <w:shd w:val="clear" w:color="auto" w:fill="AEAAAA" w:themeFill="background2" w:themeFillShade="BF"/>
            <w:noWrap/>
            <w:vAlign w:val="bottom"/>
            <w:hideMark/>
          </w:tcPr>
          <w:p w:rsidR="00415D3F" w:rsidRPr="00C71655" w:rsidRDefault="00415D3F" w:rsidP="00415D3F">
            <w:pPr>
              <w:jc w:val="center"/>
              <w:rPr>
                <w:iCs/>
                <w:color w:val="000000"/>
              </w:rPr>
            </w:pPr>
            <w:r w:rsidRPr="00C71655">
              <w:rPr>
                <w:iCs/>
                <w:color w:val="000000"/>
              </w:rPr>
              <w:t>t Stat</w:t>
            </w:r>
          </w:p>
        </w:tc>
        <w:tc>
          <w:tcPr>
            <w:tcW w:w="1882" w:type="dxa"/>
            <w:shd w:val="clear" w:color="auto" w:fill="AEAAAA" w:themeFill="background2" w:themeFillShade="BF"/>
            <w:noWrap/>
            <w:vAlign w:val="bottom"/>
            <w:hideMark/>
          </w:tcPr>
          <w:p w:rsidR="00415D3F" w:rsidRPr="00C71655" w:rsidRDefault="00415D3F" w:rsidP="00415D3F">
            <w:pPr>
              <w:jc w:val="center"/>
              <w:rPr>
                <w:iCs/>
                <w:color w:val="000000"/>
              </w:rPr>
            </w:pPr>
            <w:r w:rsidRPr="00C71655">
              <w:rPr>
                <w:iCs/>
                <w:color w:val="000000"/>
              </w:rPr>
              <w:t>P-value</w:t>
            </w:r>
          </w:p>
        </w:tc>
      </w:tr>
      <w:tr w:rsidR="00415D3F" w:rsidRPr="00C71655" w:rsidTr="00415D3F">
        <w:trPr>
          <w:trHeight w:val="320"/>
        </w:trPr>
        <w:tc>
          <w:tcPr>
            <w:tcW w:w="1881" w:type="dxa"/>
            <w:shd w:val="clear" w:color="auto" w:fill="auto"/>
            <w:noWrap/>
            <w:vAlign w:val="bottom"/>
            <w:hideMark/>
          </w:tcPr>
          <w:p w:rsidR="00415D3F" w:rsidRPr="00C71655" w:rsidRDefault="00415D3F" w:rsidP="00415D3F">
            <w:pPr>
              <w:jc w:val="center"/>
              <w:rPr>
                <w:color w:val="000000"/>
              </w:rPr>
            </w:pPr>
            <w:r w:rsidRPr="00C71655">
              <w:rPr>
                <w:color w:val="000000"/>
              </w:rPr>
              <w:t xml:space="preserve">Intercept </w:t>
            </w:r>
            <m:oMath>
              <m:sSub>
                <m:sSubPr>
                  <m:ctrlPr>
                    <w:rPr>
                      <w:rFonts w:ascii="Cambria Math" w:hAnsi="Cambria Math"/>
                      <w:i/>
                      <w:iCs/>
                    </w:rPr>
                  </m:ctrlPr>
                </m:sSubPr>
                <m:e>
                  <m:r>
                    <w:rPr>
                      <w:rFonts w:ascii="Cambria Math" w:hAnsi="Cambria Math"/>
                    </w:rPr>
                    <m:t>α</m:t>
                  </m:r>
                </m:e>
                <m:sub>
                  <m:r>
                    <w:rPr>
                      <w:rFonts w:ascii="Cambria Math" w:hAnsi="Cambria Math"/>
                    </w:rPr>
                    <m:t>0</m:t>
                  </m:r>
                </m:sub>
              </m:sSub>
            </m:oMath>
          </w:p>
        </w:tc>
        <w:tc>
          <w:tcPr>
            <w:tcW w:w="1881" w:type="dxa"/>
            <w:shd w:val="clear" w:color="auto" w:fill="auto"/>
            <w:noWrap/>
            <w:vAlign w:val="bottom"/>
            <w:hideMark/>
          </w:tcPr>
          <w:p w:rsidR="00415D3F" w:rsidRPr="00C71655" w:rsidRDefault="00415D3F" w:rsidP="00415D3F">
            <w:pPr>
              <w:jc w:val="center"/>
              <w:rPr>
                <w:color w:val="000000"/>
              </w:rPr>
            </w:pPr>
            <w:r w:rsidRPr="00C71655">
              <w:rPr>
                <w:color w:val="000000"/>
              </w:rPr>
              <w:t>-1.829E-06</w:t>
            </w:r>
          </w:p>
        </w:tc>
        <w:tc>
          <w:tcPr>
            <w:tcW w:w="1882" w:type="dxa"/>
            <w:shd w:val="clear" w:color="auto" w:fill="auto"/>
            <w:noWrap/>
            <w:vAlign w:val="bottom"/>
            <w:hideMark/>
          </w:tcPr>
          <w:p w:rsidR="00415D3F" w:rsidRPr="00C71655" w:rsidRDefault="00415D3F" w:rsidP="00415D3F">
            <w:pPr>
              <w:jc w:val="center"/>
              <w:rPr>
                <w:color w:val="000000"/>
              </w:rPr>
            </w:pPr>
            <w:r w:rsidRPr="00C71655">
              <w:rPr>
                <w:color w:val="000000"/>
              </w:rPr>
              <w:t>9.0326E-06</w:t>
            </w:r>
          </w:p>
        </w:tc>
        <w:tc>
          <w:tcPr>
            <w:tcW w:w="1881" w:type="dxa"/>
            <w:shd w:val="clear" w:color="auto" w:fill="auto"/>
            <w:noWrap/>
            <w:vAlign w:val="bottom"/>
            <w:hideMark/>
          </w:tcPr>
          <w:p w:rsidR="00415D3F" w:rsidRPr="00C71655" w:rsidRDefault="00415D3F" w:rsidP="00415D3F">
            <w:pPr>
              <w:jc w:val="center"/>
              <w:rPr>
                <w:color w:val="000000"/>
              </w:rPr>
            </w:pPr>
            <w:r w:rsidRPr="00C71655">
              <w:rPr>
                <w:color w:val="000000"/>
              </w:rPr>
              <w:t>-0.2024673</w:t>
            </w:r>
          </w:p>
        </w:tc>
        <w:tc>
          <w:tcPr>
            <w:tcW w:w="1882" w:type="dxa"/>
            <w:shd w:val="clear" w:color="auto" w:fill="auto"/>
            <w:noWrap/>
            <w:vAlign w:val="bottom"/>
            <w:hideMark/>
          </w:tcPr>
          <w:p w:rsidR="00415D3F" w:rsidRPr="00C71655" w:rsidRDefault="00415D3F" w:rsidP="00415D3F">
            <w:pPr>
              <w:jc w:val="center"/>
              <w:rPr>
                <w:color w:val="000000"/>
              </w:rPr>
            </w:pPr>
            <w:r w:rsidRPr="00C71655">
              <w:rPr>
                <w:color w:val="000000"/>
              </w:rPr>
              <w:t>0.83955193</w:t>
            </w:r>
          </w:p>
        </w:tc>
      </w:tr>
      <w:tr w:rsidR="00415D3F" w:rsidRPr="00C71655" w:rsidTr="00415D3F">
        <w:trPr>
          <w:trHeight w:val="340"/>
        </w:trPr>
        <w:tc>
          <w:tcPr>
            <w:tcW w:w="1881" w:type="dxa"/>
            <w:shd w:val="clear" w:color="auto" w:fill="auto"/>
            <w:noWrap/>
            <w:vAlign w:val="bottom"/>
            <w:hideMark/>
          </w:tcPr>
          <w:p w:rsidR="00415D3F" w:rsidRPr="00C71655" w:rsidRDefault="0087272B" w:rsidP="00415D3F">
            <w:pPr>
              <w:jc w:val="center"/>
              <w:rPr>
                <w:color w:val="000000"/>
              </w:rPr>
            </w:pPr>
            <m:oMathPara>
              <m:oMath>
                <m:sSub>
                  <m:sSubPr>
                    <m:ctrlPr>
                      <w:rPr>
                        <w:rFonts w:ascii="Cambria Math" w:hAnsi="Cambria Math"/>
                        <w:i/>
                        <w:iCs/>
                      </w:rPr>
                    </m:ctrlPr>
                  </m:sSubPr>
                  <m:e>
                    <m:r>
                      <w:rPr>
                        <w:rFonts w:ascii="Cambria Math" w:hAnsi="Cambria Math"/>
                      </w:rPr>
                      <m:t>α</m:t>
                    </m:r>
                  </m:e>
                  <m:sub>
                    <m:r>
                      <w:rPr>
                        <w:rFonts w:ascii="Cambria Math" w:hAnsi="Cambria Math"/>
                      </w:rPr>
                      <m:t>1</m:t>
                    </m:r>
                  </m:sub>
                </m:sSub>
              </m:oMath>
            </m:oMathPara>
          </w:p>
        </w:tc>
        <w:tc>
          <w:tcPr>
            <w:tcW w:w="1881" w:type="dxa"/>
            <w:shd w:val="clear" w:color="auto" w:fill="FFC000"/>
            <w:noWrap/>
            <w:vAlign w:val="bottom"/>
            <w:hideMark/>
          </w:tcPr>
          <w:p w:rsidR="00415D3F" w:rsidRPr="00C71655" w:rsidRDefault="00415D3F" w:rsidP="00415D3F">
            <w:pPr>
              <w:jc w:val="center"/>
              <w:rPr>
                <w:color w:val="000000"/>
              </w:rPr>
            </w:pPr>
            <w:r w:rsidRPr="00C71655">
              <w:rPr>
                <w:color w:val="000000"/>
              </w:rPr>
              <w:t>-0.67267</w:t>
            </w:r>
          </w:p>
        </w:tc>
        <w:tc>
          <w:tcPr>
            <w:tcW w:w="1882" w:type="dxa"/>
            <w:shd w:val="clear" w:color="auto" w:fill="auto"/>
            <w:noWrap/>
            <w:vAlign w:val="bottom"/>
            <w:hideMark/>
          </w:tcPr>
          <w:p w:rsidR="00415D3F" w:rsidRPr="00C71655" w:rsidRDefault="00415D3F" w:rsidP="00415D3F">
            <w:pPr>
              <w:jc w:val="center"/>
              <w:rPr>
                <w:color w:val="000000"/>
              </w:rPr>
            </w:pPr>
            <w:r w:rsidRPr="00C71655">
              <w:rPr>
                <w:color w:val="000000"/>
              </w:rPr>
              <w:t>0.02753935</w:t>
            </w:r>
          </w:p>
        </w:tc>
        <w:tc>
          <w:tcPr>
            <w:tcW w:w="1881" w:type="dxa"/>
            <w:shd w:val="clear" w:color="auto" w:fill="auto"/>
            <w:noWrap/>
            <w:vAlign w:val="bottom"/>
            <w:hideMark/>
          </w:tcPr>
          <w:p w:rsidR="00415D3F" w:rsidRPr="00C71655" w:rsidRDefault="00415D3F" w:rsidP="00415D3F">
            <w:pPr>
              <w:jc w:val="center"/>
              <w:rPr>
                <w:color w:val="000000"/>
              </w:rPr>
            </w:pPr>
            <w:r w:rsidRPr="00C71655">
              <w:rPr>
                <w:color w:val="000000"/>
              </w:rPr>
              <w:t>-24.425776</w:t>
            </w:r>
          </w:p>
        </w:tc>
        <w:tc>
          <w:tcPr>
            <w:tcW w:w="1882" w:type="dxa"/>
            <w:shd w:val="clear" w:color="auto" w:fill="auto"/>
            <w:noWrap/>
            <w:vAlign w:val="bottom"/>
            <w:hideMark/>
          </w:tcPr>
          <w:p w:rsidR="00415D3F" w:rsidRPr="00C71655" w:rsidRDefault="00415D3F" w:rsidP="00415D3F">
            <w:pPr>
              <w:jc w:val="center"/>
              <w:rPr>
                <w:color w:val="000000"/>
              </w:rPr>
            </w:pPr>
            <w:r w:rsidRPr="00C71655">
              <w:rPr>
                <w:color w:val="000000"/>
              </w:rPr>
              <w:t>2.916E-131</w:t>
            </w:r>
          </w:p>
        </w:tc>
      </w:tr>
    </w:tbl>
    <w:p w:rsidR="00DD00C4" w:rsidRPr="00C71655" w:rsidRDefault="00415D3F" w:rsidP="00415D3F">
      <w:pPr>
        <w:pStyle w:val="Caption"/>
        <w:keepNext/>
        <w:jc w:val="center"/>
      </w:pPr>
      <w:r w:rsidRPr="00C71655">
        <w:t xml:space="preserve">Table </w:t>
      </w:r>
      <w:fldSimple w:instr=" SEQ Table \* ARABIC ">
        <w:r w:rsidRPr="00C71655">
          <w:rPr>
            <w:noProof/>
          </w:rPr>
          <w:t>1</w:t>
        </w:r>
      </w:fldSimple>
      <w:r w:rsidR="00033C68">
        <w:t xml:space="preserve"> </w:t>
      </w:r>
      <w:r w:rsidRPr="00C71655">
        <w:t>Regression Result of contemporaneous return &amp; IVIX</w:t>
      </w:r>
    </w:p>
    <w:p w:rsidR="005E7955" w:rsidRPr="00C71655" w:rsidRDefault="00DD00C4" w:rsidP="00785762">
      <w:pPr>
        <w:spacing w:line="480" w:lineRule="auto"/>
        <w:ind w:firstLine="720"/>
      </w:pPr>
      <w:r w:rsidRPr="00C71655">
        <w:t xml:space="preserve">From the regression result, the coefficient of contemporaneous return </w:t>
      </w:r>
      <w:r w:rsidR="00CB0552" w:rsidRPr="00C71655">
        <w:t xml:space="preserve">is </w:t>
      </w:r>
      <w:r w:rsidR="00CB0552" w:rsidRPr="00C71655">
        <w:rPr>
          <w:color w:val="000000"/>
        </w:rPr>
        <w:t xml:space="preserve">-0.67267 with small p-value. We can therefore conclude that the contemporaneous return and IVIX is negatively correlated. However, the coefficient is much smaller than </w:t>
      </w:r>
      <w:r w:rsidR="001D1FDA" w:rsidRPr="00C71655">
        <w:rPr>
          <w:color w:val="000000"/>
        </w:rPr>
        <w:t xml:space="preserve">the strong negative </w:t>
      </w:r>
      <w:r w:rsidR="00CB0552" w:rsidRPr="00C71655">
        <w:rPr>
          <w:color w:val="000000"/>
        </w:rPr>
        <w:t xml:space="preserve">observations in the US market, which is -3.6 in Hibbert(2008). </w:t>
      </w:r>
      <w:r w:rsidR="00E7510C" w:rsidRPr="00C71655">
        <w:rPr>
          <w:color w:val="000000"/>
        </w:rPr>
        <w:t xml:space="preserve">Comparing to the US market, </w:t>
      </w:r>
      <w:r w:rsidR="00E7510C" w:rsidRPr="00C71655">
        <w:rPr>
          <w:color w:val="000000"/>
        </w:rPr>
        <w:lastRenderedPageBreak/>
        <w:t>t</w:t>
      </w:r>
      <w:r w:rsidR="00CB0552" w:rsidRPr="00C71655">
        <w:rPr>
          <w:color w:val="000000"/>
        </w:rPr>
        <w:t xml:space="preserve">he negative relation of </w:t>
      </w:r>
      <w:r w:rsidR="00E7510C" w:rsidRPr="00C71655">
        <w:rPr>
          <w:color w:val="000000"/>
        </w:rPr>
        <w:t xml:space="preserve">IVIX and stock return is weak in Chinese market. We take a step further and separate positive return and negative return to investigate the reason of weak correlation. </w:t>
      </w:r>
      <w:r w:rsidR="00E7510C" w:rsidRPr="00C71655">
        <w:t>We then introduce t</w:t>
      </w:r>
      <w:r w:rsidR="00CF6E28" w:rsidRPr="00C71655">
        <w:t xml:space="preserve">wo dummy variables to the model to </w:t>
      </w:r>
      <w:r w:rsidR="00E7510C" w:rsidRPr="00C71655">
        <w:t xml:space="preserve">study </w:t>
      </w:r>
      <w:r w:rsidR="00CF6E28" w:rsidRPr="00C71655">
        <w:t>their coefficients</w:t>
      </w:r>
      <w:r w:rsidR="00E7510C" w:rsidRPr="00C71655">
        <w:t xml:space="preserve"> respectively</w:t>
      </w:r>
      <w:r w:rsidR="00CF6E28" w:rsidRPr="00C71655">
        <w:t xml:space="preserve">. </w:t>
      </w:r>
    </w:p>
    <w:p w:rsidR="00C748F1" w:rsidRPr="00C71655" w:rsidRDefault="0087272B" w:rsidP="004960FD">
      <w:pPr>
        <w:spacing w:line="480" w:lineRule="auto"/>
        <w:rPr>
          <w:iCs/>
        </w:rPr>
      </w:pPr>
      <m:oMathPara>
        <m:oMath>
          <m:sSub>
            <m:sSubPr>
              <m:ctrlPr>
                <w:rPr>
                  <w:rFonts w:ascii="Cambria Math" w:hAnsi="Cambria Math"/>
                  <w:i/>
                  <w:iCs/>
                </w:rPr>
              </m:ctrlPr>
            </m:sSubPr>
            <m:e>
              <m:r>
                <w:rPr>
                  <w:rFonts w:ascii="Cambria Math" w:hAnsi="Cambria Math"/>
                </w:rPr>
                <m:t>r</m:t>
              </m:r>
            </m:e>
            <m:sub>
              <m:r>
                <w:rPr>
                  <w:rFonts w:ascii="Cambria Math" w:hAnsi="Cambria Math"/>
                </w:rPr>
                <m:t>IVIX,t</m:t>
              </m:r>
            </m:sub>
          </m:sSub>
          <m:r>
            <w:rPr>
              <w:rFonts w:ascii="Cambria Math" w:hAnsi="Cambria Math"/>
            </w:rPr>
            <m:t>=</m:t>
          </m:r>
          <m:sSubSup>
            <m:sSubSupPr>
              <m:ctrlPr>
                <w:rPr>
                  <w:rFonts w:ascii="Cambria Math" w:hAnsi="Cambria Math"/>
                  <w:i/>
                  <w:iCs/>
                </w:rPr>
              </m:ctrlPr>
            </m:sSubSupPr>
            <m:e>
              <m:r>
                <w:rPr>
                  <w:rFonts w:ascii="Cambria Math" w:hAnsi="Cambria Math"/>
                </w:rPr>
                <m:t>β</m:t>
              </m:r>
            </m:e>
            <m:sub>
              <m:r>
                <w:rPr>
                  <w:rFonts w:ascii="Cambria Math" w:hAnsi="Cambria Math"/>
                </w:rPr>
                <m:t>0</m:t>
              </m:r>
            </m:sub>
            <m:sup>
              <m:r>
                <w:rPr>
                  <w:rFonts w:ascii="Cambria Math" w:hAnsi="Cambria Math"/>
                </w:rPr>
                <m:t>-</m:t>
              </m:r>
            </m:sup>
          </m:sSubSup>
          <m:sSubSup>
            <m:sSubSupPr>
              <m:ctrlPr>
                <w:rPr>
                  <w:rFonts w:ascii="Cambria Math" w:hAnsi="Cambria Math"/>
                  <w:i/>
                  <w:iCs/>
                </w:rPr>
              </m:ctrlPr>
            </m:sSubSupPr>
            <m:e>
              <m:r>
                <w:rPr>
                  <w:rFonts w:ascii="Cambria Math" w:hAnsi="Cambria Math"/>
                </w:rPr>
                <m:t>D</m:t>
              </m:r>
            </m:e>
            <m:sub>
              <m:r>
                <w:rPr>
                  <w:rFonts w:ascii="Cambria Math" w:hAnsi="Cambria Math"/>
                </w:rPr>
                <m:t>t</m:t>
              </m:r>
            </m:sub>
            <m:sup>
              <m:r>
                <w:rPr>
                  <w:rFonts w:ascii="Cambria Math" w:hAnsi="Cambria Math"/>
                </w:rPr>
                <m:t>-</m:t>
              </m:r>
            </m:sup>
          </m:sSubSup>
          <m:sSubSup>
            <m:sSubSupPr>
              <m:ctrlPr>
                <w:rPr>
                  <w:rFonts w:ascii="Cambria Math" w:hAnsi="Cambria Math"/>
                  <w:i/>
                  <w:iCs/>
                </w:rPr>
              </m:ctrlPr>
            </m:sSubSupPr>
            <m:e>
              <m:r>
                <w:rPr>
                  <w:rFonts w:ascii="Cambria Math" w:hAnsi="Cambria Math"/>
                </w:rPr>
                <m:t>+β</m:t>
              </m:r>
            </m:e>
            <m:sub>
              <m:r>
                <w:rPr>
                  <w:rFonts w:ascii="Cambria Math" w:hAnsi="Cambria Math"/>
                </w:rPr>
                <m:t>0</m:t>
              </m:r>
            </m:sub>
            <m:sup>
              <m:r>
                <w:rPr>
                  <w:rFonts w:ascii="Cambria Math" w:hAnsi="Cambria Math"/>
                </w:rPr>
                <m:t>+</m:t>
              </m:r>
            </m:sup>
          </m:sSubSup>
          <m:sSubSup>
            <m:sSubSupPr>
              <m:ctrlPr>
                <w:rPr>
                  <w:rFonts w:ascii="Cambria Math" w:hAnsi="Cambria Math"/>
                  <w:i/>
                  <w:iCs/>
                </w:rPr>
              </m:ctrlPr>
            </m:sSubSupPr>
            <m:e>
              <m:r>
                <w:rPr>
                  <w:rFonts w:ascii="Cambria Math" w:hAnsi="Cambria Math"/>
                </w:rPr>
                <m:t>D</m:t>
              </m:r>
            </m:e>
            <m:sub>
              <m:r>
                <w:rPr>
                  <w:rFonts w:ascii="Cambria Math" w:hAnsi="Cambria Math"/>
                </w:rPr>
                <m:t>t</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β</m:t>
              </m:r>
            </m:e>
            <m:sub>
              <m:r>
                <w:rPr>
                  <w:rFonts w:ascii="Cambria Math" w:hAnsi="Cambria Math"/>
                </w:rPr>
                <m:t>1</m:t>
              </m:r>
            </m:sub>
            <m:sup>
              <m:r>
                <w:rPr>
                  <w:rFonts w:ascii="Cambria Math" w:hAnsi="Cambria Math"/>
                </w:rPr>
                <m:t>-</m:t>
              </m:r>
            </m:sup>
          </m:sSubSup>
          <m:sSub>
            <m:sSubPr>
              <m:ctrlPr>
                <w:rPr>
                  <w:rFonts w:ascii="Cambria Math" w:hAnsi="Cambria Math"/>
                  <w:i/>
                  <w:iCs/>
                </w:rPr>
              </m:ctrlPr>
            </m:sSubPr>
            <m:e>
              <m:r>
                <w:rPr>
                  <w:rFonts w:ascii="Cambria Math" w:hAnsi="Cambria Math"/>
                </w:rPr>
                <m:t>r</m:t>
              </m:r>
            </m:e>
            <m:sub>
              <m:r>
                <w:rPr>
                  <w:rFonts w:ascii="Cambria Math" w:hAnsi="Cambria Math"/>
                </w:rPr>
                <m:t>ETF,t</m:t>
              </m:r>
            </m:sub>
          </m:sSub>
          <m:sSubSup>
            <m:sSubSupPr>
              <m:ctrlPr>
                <w:rPr>
                  <w:rFonts w:ascii="Cambria Math" w:hAnsi="Cambria Math"/>
                  <w:i/>
                  <w:iCs/>
                </w:rPr>
              </m:ctrlPr>
            </m:sSubSupPr>
            <m:e>
              <m:r>
                <w:rPr>
                  <w:rFonts w:ascii="Cambria Math" w:hAnsi="Cambria Math"/>
                </w:rPr>
                <m:t>D</m:t>
              </m:r>
            </m:e>
            <m:sub>
              <m:r>
                <w:rPr>
                  <w:rFonts w:ascii="Cambria Math" w:hAnsi="Cambria Math"/>
                </w:rPr>
                <m:t>t</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β</m:t>
              </m:r>
            </m:e>
            <m:sub>
              <m:r>
                <w:rPr>
                  <w:rFonts w:ascii="Cambria Math" w:hAnsi="Cambria Math"/>
                </w:rPr>
                <m:t>1</m:t>
              </m:r>
            </m:sub>
            <m:sup>
              <m:r>
                <w:rPr>
                  <w:rFonts w:ascii="Cambria Math" w:hAnsi="Cambria Math"/>
                </w:rPr>
                <m:t>+</m:t>
              </m:r>
            </m:sup>
          </m:sSubSup>
          <m:sSub>
            <m:sSubPr>
              <m:ctrlPr>
                <w:rPr>
                  <w:rFonts w:ascii="Cambria Math" w:hAnsi="Cambria Math"/>
                  <w:i/>
                  <w:iCs/>
                </w:rPr>
              </m:ctrlPr>
            </m:sSubPr>
            <m:e>
              <m:r>
                <w:rPr>
                  <w:rFonts w:ascii="Cambria Math" w:hAnsi="Cambria Math"/>
                </w:rPr>
                <m:t>r</m:t>
              </m:r>
            </m:e>
            <m:sub>
              <m:r>
                <w:rPr>
                  <w:rFonts w:ascii="Cambria Math" w:hAnsi="Cambria Math"/>
                </w:rPr>
                <m:t>ETF,t</m:t>
              </m:r>
            </m:sub>
          </m:sSub>
          <m:sSubSup>
            <m:sSubSupPr>
              <m:ctrlPr>
                <w:rPr>
                  <w:rFonts w:ascii="Cambria Math" w:hAnsi="Cambria Math"/>
                  <w:i/>
                  <w:iCs/>
                </w:rPr>
              </m:ctrlPr>
            </m:sSubSupPr>
            <m:e>
              <m:r>
                <w:rPr>
                  <w:rFonts w:ascii="Cambria Math" w:hAnsi="Cambria Math"/>
                </w:rPr>
                <m:t>D</m:t>
              </m:r>
            </m:e>
            <m:sub>
              <m:r>
                <w:rPr>
                  <w:rFonts w:ascii="Cambria Math" w:hAnsi="Cambria Math"/>
                </w:rPr>
                <m:t>t</m:t>
              </m:r>
            </m:sub>
            <m:sup>
              <m:r>
                <w:rPr>
                  <w:rFonts w:ascii="Cambria Math" w:hAnsi="Cambria Math"/>
                </w:rPr>
                <m:t>+</m:t>
              </m:r>
            </m:sup>
          </m:sSubSup>
          <m:r>
            <w:rPr>
              <w:rFonts w:ascii="Cambria Math" w:hAnsi="Cambria Math"/>
            </w:rPr>
            <m:t>+</m:t>
          </m:r>
          <m:sSub>
            <m:sSubPr>
              <m:ctrlPr>
                <w:rPr>
                  <w:rFonts w:ascii="Cambria Math" w:hAnsi="Cambria Math"/>
                  <w:i/>
                  <w:iCs/>
                </w:rPr>
              </m:ctrlPr>
            </m:sSubPr>
            <m:e>
              <m:r>
                <w:rPr>
                  <w:rFonts w:ascii="Cambria Math" w:hAnsi="Cambria Math"/>
                </w:rPr>
                <m:t>ϵ</m:t>
              </m:r>
            </m:e>
            <m:sub>
              <m:r>
                <w:rPr>
                  <w:rFonts w:ascii="Cambria Math" w:hAnsi="Cambria Math"/>
                </w:rPr>
                <m:t>t</m:t>
              </m:r>
            </m:sub>
          </m:sSub>
        </m:oMath>
      </m:oMathPara>
    </w:p>
    <w:p w:rsidR="00C748F1" w:rsidRPr="00C71655" w:rsidRDefault="004B5C4F" w:rsidP="00ED423C">
      <w:pPr>
        <w:spacing w:line="360" w:lineRule="auto"/>
        <w:rPr>
          <w:iCs/>
        </w:rPr>
      </w:pPr>
      <w:r w:rsidRPr="00C71655">
        <w:rPr>
          <w:iCs/>
          <w:noProof/>
          <w:color w:val="000000" w:themeColor="text1"/>
        </w:rPr>
        <mc:AlternateContent>
          <mc:Choice Requires="wps">
            <w:drawing>
              <wp:anchor distT="0" distB="0" distL="114300" distR="114300" simplePos="0" relativeHeight="251671552" behindDoc="0" locked="0" layoutInCell="1" allowOverlap="1" wp14:anchorId="7B03ED8F" wp14:editId="60BD7637">
                <wp:simplePos x="0" y="0"/>
                <wp:positionH relativeFrom="column">
                  <wp:posOffset>-20782</wp:posOffset>
                </wp:positionH>
                <wp:positionV relativeFrom="paragraph">
                  <wp:posOffset>1374255</wp:posOffset>
                </wp:positionV>
                <wp:extent cx="5766532" cy="0"/>
                <wp:effectExtent l="0" t="0" r="12065" b="12700"/>
                <wp:wrapNone/>
                <wp:docPr id="20" name="Straight Connector 13">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57665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85FC8" id="Straight Connector 1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108.2pt" to="452.4pt,10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" strokecolor="black [3213]" strokeweight=".5pt">
                <v:stroke joinstyle="miter"/>
              </v:line>
            </w:pict>
          </mc:Fallback>
        </mc:AlternateContent>
      </w:r>
      <w:r w:rsidR="00C748F1" w:rsidRPr="00C71655">
        <w:rPr>
          <w:iCs/>
          <w:noProof/>
          <w:color w:val="000000" w:themeColor="text1"/>
        </w:rPr>
        <mc:AlternateContent>
          <mc:Choice Requires="wps">
            <w:drawing>
              <wp:anchor distT="0" distB="0" distL="114300" distR="114300" simplePos="0" relativeHeight="251669504" behindDoc="0" locked="0" layoutInCell="1" allowOverlap="1" wp14:anchorId="23850F9E" wp14:editId="32C0158B">
                <wp:simplePos x="0" y="0"/>
                <wp:positionH relativeFrom="column">
                  <wp:posOffset>-23247</wp:posOffset>
                </wp:positionH>
                <wp:positionV relativeFrom="paragraph">
                  <wp:posOffset>170460</wp:posOffset>
                </wp:positionV>
                <wp:extent cx="5766532" cy="0"/>
                <wp:effectExtent l="0" t="0" r="12065" b="12700"/>
                <wp:wrapNone/>
                <wp:docPr id="14" name="Straight Connector 13">
                  <a:extLst xmlns:a="http://schemas.openxmlformats.org/drawingml/2006/main">
                    <a:ext uri="{FF2B5EF4-FFF2-40B4-BE49-F238E27FC236}">
                      <a16:creationId xmlns:a16="http://schemas.microsoft.com/office/drawing/2014/main" id="{C20C66B7-2B42-024A-B393-0A53D25A8152}"/>
                    </a:ext>
                  </a:extLst>
                </wp:docPr>
                <wp:cNvGraphicFramePr/>
                <a:graphic xmlns:a="http://schemas.openxmlformats.org/drawingml/2006/main">
                  <a:graphicData uri="http://schemas.microsoft.com/office/word/2010/wordprocessingShape">
                    <wps:wsp>
                      <wps:cNvCnPr/>
                      <wps:spPr>
                        <a:xfrm flipV="1">
                          <a:off x="0" y="0"/>
                          <a:ext cx="57665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A67336" id="Straight Connector 1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13.4pt" to="452.2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" strokecolor="black [3213]" strokeweight=".5pt">
                <v:stroke joinstyle="miter"/>
              </v:line>
            </w:pict>
          </mc:Fallback>
        </mc:AlternateContent>
      </w:r>
    </w:p>
    <w:p w:rsidR="00CD2D90" w:rsidRPr="00C71655" w:rsidRDefault="0087272B" w:rsidP="00CD2D90">
      <w:pPr>
        <w:spacing w:line="360" w:lineRule="auto"/>
      </w:pPr>
      <m:oMath>
        <m:sSub>
          <m:sSubPr>
            <m:ctrlPr>
              <w:rPr>
                <w:rFonts w:ascii="Cambria Math" w:hAnsi="Cambria Math"/>
                <w:i/>
                <w:iCs/>
              </w:rPr>
            </m:ctrlPr>
          </m:sSubPr>
          <m:e>
            <m:r>
              <w:rPr>
                <w:rFonts w:ascii="Cambria Math" w:hAnsi="Cambria Math"/>
              </w:rPr>
              <m:t>r</m:t>
            </m:r>
          </m:e>
          <m:sub>
            <m:r>
              <w:rPr>
                <w:rFonts w:ascii="Cambria Math" w:hAnsi="Cambria Math"/>
              </w:rPr>
              <m:t>IVIX,t</m:t>
            </m:r>
          </m:sub>
        </m:sSub>
      </m:oMath>
      <w:r w:rsidR="00CD2D90" w:rsidRPr="00C71655">
        <w:t xml:space="preserve"> - </w:t>
      </w:r>
      <m:oMath>
        <m:sSub>
          <m:sSubPr>
            <m:ctrlPr>
              <w:rPr>
                <w:rFonts w:ascii="Cambria Math" w:hAnsi="Cambria Math"/>
                <w:i/>
                <w:iCs/>
              </w:rPr>
            </m:ctrlPr>
          </m:sSubPr>
          <m:e>
            <m:r>
              <m:rPr>
                <m:lit/>
                <m:sty m:val="p"/>
              </m:rPr>
              <w:rPr>
                <w:rFonts w:ascii="Cambria Math" w:hAnsi="Cambria Math"/>
              </w:rPr>
              <m:t> </m:t>
            </m:r>
            <m:r>
              <m:rPr>
                <m:sty m:val="p"/>
              </m:rPr>
              <w:rPr>
                <w:rFonts w:ascii="Cambria Math" w:hAnsi="Cambria Math"/>
              </w:rPr>
              <m:t>ln</m:t>
            </m:r>
            <m:r>
              <w:rPr>
                <w:rFonts w:ascii="Cambria Math" w:hAnsi="Cambria Math"/>
              </w:rPr>
              <m:t>⁡V</m:t>
            </m:r>
          </m:e>
          <m:sub>
            <m:r>
              <w:rPr>
                <w:rFonts w:ascii="Cambria Math" w:hAnsi="Cambria Math"/>
              </w:rPr>
              <m:t>IVIX,t</m:t>
            </m:r>
          </m:sub>
        </m:sSub>
        <m:r>
          <w:rPr>
            <w:rFonts w:ascii="Cambria Math" w:hAnsi="Cambria Math"/>
          </w:rPr>
          <m:t>-</m:t>
        </m:r>
        <m:sSub>
          <m:sSubPr>
            <m:ctrlPr>
              <w:rPr>
                <w:rFonts w:ascii="Cambria Math" w:hAnsi="Cambria Math"/>
                <w:i/>
                <w:iCs/>
              </w:rPr>
            </m:ctrlPr>
          </m:sSubPr>
          <m:e>
            <m:r>
              <m:rPr>
                <m:lit/>
                <m:sty m:val="p"/>
              </m:rPr>
              <w:rPr>
                <w:rFonts w:ascii="Cambria Math" w:hAnsi="Cambria Math"/>
              </w:rPr>
              <m:t> </m:t>
            </m:r>
            <m:func>
              <m:funcPr>
                <m:ctrlPr>
                  <w:rPr>
                    <w:rFonts w:ascii="Cambria Math" w:hAnsi="Cambria Math"/>
                    <w:i/>
                    <w:iCs/>
                  </w:rPr>
                </m:ctrlPr>
              </m:funcPr>
              <m:fName>
                <m:r>
                  <m:rPr>
                    <m:sty m:val="p"/>
                  </m:rPr>
                  <w:rPr>
                    <w:rFonts w:ascii="Cambria Math" w:hAnsi="Cambria Math"/>
                  </w:rPr>
                  <m:t>ln</m:t>
                </m:r>
              </m:fName>
              <m:e>
                <m:r>
                  <w:rPr>
                    <w:rFonts w:ascii="Cambria Math" w:hAnsi="Cambria Math"/>
                  </w:rPr>
                  <m:t>V</m:t>
                </m:r>
              </m:e>
            </m:func>
          </m:e>
          <m:sub>
            <m:r>
              <w:rPr>
                <w:rFonts w:ascii="Cambria Math" w:hAnsi="Cambria Math"/>
              </w:rPr>
              <m:t>IVIX,t-1</m:t>
            </m:r>
          </m:sub>
        </m:sSub>
      </m:oMath>
    </w:p>
    <w:p w:rsidR="00CD2D90" w:rsidRPr="00C71655" w:rsidRDefault="0087272B" w:rsidP="00CD2D90">
      <w:pPr>
        <w:spacing w:line="360" w:lineRule="auto"/>
      </w:pPr>
      <m:oMath>
        <m:sSub>
          <m:sSubPr>
            <m:ctrlPr>
              <w:rPr>
                <w:rFonts w:ascii="Cambria Math" w:hAnsi="Cambria Math"/>
                <w:i/>
                <w:iCs/>
              </w:rPr>
            </m:ctrlPr>
          </m:sSubPr>
          <m:e>
            <m:r>
              <w:rPr>
                <w:rFonts w:ascii="Cambria Math" w:hAnsi="Cambria Math"/>
              </w:rPr>
              <m:t>r</m:t>
            </m:r>
          </m:e>
          <m:sub>
            <m:r>
              <w:rPr>
                <w:rFonts w:ascii="Cambria Math" w:hAnsi="Cambria Math"/>
              </w:rPr>
              <m:t>ETF,t</m:t>
            </m:r>
          </m:sub>
        </m:sSub>
      </m:oMath>
      <w:r w:rsidR="00CD2D90" w:rsidRPr="00C71655">
        <w:t xml:space="preserve"> - </w:t>
      </w:r>
      <m:oMath>
        <m:sSub>
          <m:sSubPr>
            <m:ctrlPr>
              <w:rPr>
                <w:rFonts w:ascii="Cambria Math" w:hAnsi="Cambria Math"/>
                <w:i/>
                <w:iCs/>
              </w:rPr>
            </m:ctrlPr>
          </m:sSubPr>
          <m:e>
            <m:r>
              <m:rPr>
                <m:lit/>
                <m:sty m:val="p"/>
              </m:rPr>
              <w:rPr>
                <w:rFonts w:ascii="Cambria Math" w:hAnsi="Cambria Math"/>
              </w:rPr>
              <m:t> </m:t>
            </m:r>
            <m:r>
              <m:rPr>
                <m:sty m:val="p"/>
              </m:rPr>
              <w:rPr>
                <w:rFonts w:ascii="Cambria Math" w:hAnsi="Cambria Math"/>
              </w:rPr>
              <m:t>ln</m:t>
            </m:r>
            <m:r>
              <w:rPr>
                <w:rFonts w:ascii="Cambria Math" w:hAnsi="Cambria Math"/>
              </w:rPr>
              <m:t>⁡P</m:t>
            </m:r>
          </m:e>
          <m:sub>
            <m:r>
              <w:rPr>
                <w:rFonts w:ascii="Cambria Math" w:hAnsi="Cambria Math"/>
              </w:rPr>
              <m:t>ETF,t</m:t>
            </m:r>
          </m:sub>
        </m:sSub>
        <m:r>
          <w:rPr>
            <w:rFonts w:ascii="Cambria Math" w:hAnsi="Cambria Math"/>
          </w:rPr>
          <m:t>-</m:t>
        </m:r>
        <m:sSub>
          <m:sSubPr>
            <m:ctrlPr>
              <w:rPr>
                <w:rFonts w:ascii="Cambria Math" w:hAnsi="Cambria Math"/>
                <w:i/>
                <w:iCs/>
              </w:rPr>
            </m:ctrlPr>
          </m:sSubPr>
          <m:e>
            <m:r>
              <m:rPr>
                <m:lit/>
                <m:sty m:val="p"/>
              </m:rPr>
              <w:rPr>
                <w:rFonts w:ascii="Cambria Math" w:hAnsi="Cambria Math"/>
              </w:rPr>
              <m:t> </m:t>
            </m:r>
            <m:r>
              <m:rPr>
                <m:sty m:val="p"/>
              </m:rPr>
              <w:rPr>
                <w:rFonts w:ascii="Cambria Math" w:hAnsi="Cambria Math"/>
              </w:rPr>
              <m:t>ln</m:t>
            </m:r>
            <m:r>
              <w:rPr>
                <w:rFonts w:ascii="Cambria Math" w:hAnsi="Cambria Math"/>
              </w:rPr>
              <m:t>⁡P</m:t>
            </m:r>
          </m:e>
          <m:sub>
            <m:r>
              <w:rPr>
                <w:rFonts w:ascii="Cambria Math" w:hAnsi="Cambria Math"/>
              </w:rPr>
              <m:t>ETF,t-1</m:t>
            </m:r>
          </m:sub>
        </m:sSub>
      </m:oMath>
    </w:p>
    <w:p w:rsidR="00CD2D90" w:rsidRPr="00C71655" w:rsidRDefault="0087272B" w:rsidP="00CD2D90">
      <w:pPr>
        <w:spacing w:line="360" w:lineRule="auto"/>
      </w:pPr>
      <m:oMath>
        <m:sSubSup>
          <m:sSubSupPr>
            <m:ctrlPr>
              <w:rPr>
                <w:rFonts w:ascii="Cambria Math" w:hAnsi="Cambria Math"/>
                <w:i/>
                <w:iCs/>
              </w:rPr>
            </m:ctrlPr>
          </m:sSubSupPr>
          <m:e>
            <m:r>
              <w:rPr>
                <w:rFonts w:ascii="Cambria Math" w:hAnsi="Cambria Math"/>
              </w:rPr>
              <m:t>D</m:t>
            </m:r>
          </m:e>
          <m:sub>
            <m:r>
              <w:rPr>
                <w:rFonts w:ascii="Cambria Math" w:hAnsi="Cambria Math"/>
              </w:rPr>
              <m:t>t</m:t>
            </m:r>
          </m:sub>
          <m:sup>
            <m:r>
              <w:rPr>
                <w:rFonts w:ascii="Cambria Math" w:hAnsi="Cambria Math"/>
              </w:rPr>
              <m:t>-</m:t>
            </m:r>
          </m:sup>
        </m:sSubSup>
      </m:oMath>
      <w:r w:rsidR="00CD2D90" w:rsidRPr="00C71655">
        <w:t xml:space="preserve"> - dummy variable for negative return</w:t>
      </w:r>
      <w:r w:rsidR="00C748F1" w:rsidRPr="00C71655">
        <w:t xml:space="preserve">, </w:t>
      </w:r>
      <m:oMath>
        <m:sSubSup>
          <m:sSubSupPr>
            <m:ctrlPr>
              <w:rPr>
                <w:rFonts w:ascii="Cambria Math" w:hAnsi="Cambria Math"/>
                <w:i/>
                <w:iCs/>
              </w:rPr>
            </m:ctrlPr>
          </m:sSubSupPr>
          <m:e>
            <m:r>
              <w:rPr>
                <w:rFonts w:ascii="Cambria Math" w:hAnsi="Cambria Math"/>
              </w:rPr>
              <m:t>D</m:t>
            </m:r>
          </m:e>
          <m:sub>
            <m:r>
              <w:rPr>
                <w:rFonts w:ascii="Cambria Math" w:hAnsi="Cambria Math"/>
              </w:rPr>
              <m:t>t</m:t>
            </m:r>
          </m:sub>
          <m:sup>
            <m:r>
              <w:rPr>
                <w:rFonts w:ascii="Cambria Math" w:hAnsi="Cambria Math"/>
              </w:rPr>
              <m:t>-</m:t>
            </m:r>
          </m:sup>
        </m:sSubSup>
        <m:r>
          <w:rPr>
            <w:rFonts w:ascii="Cambria Math" w:hAnsi="Cambria Math"/>
          </w:rPr>
          <m:t>=1</m:t>
        </m:r>
      </m:oMath>
      <w:r w:rsidR="00C748F1" w:rsidRPr="00C71655">
        <w:rPr>
          <w:iCs/>
        </w:rPr>
        <w:t xml:space="preserve"> when </w:t>
      </w:r>
      <m:oMath>
        <m:sSub>
          <m:sSubPr>
            <m:ctrlPr>
              <w:rPr>
                <w:rFonts w:ascii="Cambria Math" w:hAnsi="Cambria Math"/>
                <w:i/>
                <w:iCs/>
              </w:rPr>
            </m:ctrlPr>
          </m:sSubPr>
          <m:e>
            <m:r>
              <w:rPr>
                <w:rFonts w:ascii="Cambria Math" w:hAnsi="Cambria Math"/>
              </w:rPr>
              <m:t>r</m:t>
            </m:r>
          </m:e>
          <m:sub>
            <m:r>
              <w:rPr>
                <w:rFonts w:ascii="Cambria Math" w:hAnsi="Cambria Math"/>
              </w:rPr>
              <m:t>ETF,t</m:t>
            </m:r>
          </m:sub>
        </m:sSub>
      </m:oMath>
      <w:r w:rsidR="00C748F1" w:rsidRPr="00C71655">
        <w:rPr>
          <w:iCs/>
        </w:rPr>
        <w:t xml:space="preserve"> is negative</w:t>
      </w:r>
    </w:p>
    <w:p w:rsidR="005E2ADD" w:rsidRPr="00C71655" w:rsidRDefault="0087272B" w:rsidP="005E2ADD">
      <w:pPr>
        <w:spacing w:line="360" w:lineRule="auto"/>
        <w:rPr>
          <w:iCs/>
        </w:rPr>
      </w:pPr>
      <m:oMath>
        <m:sSubSup>
          <m:sSubSupPr>
            <m:ctrlPr>
              <w:rPr>
                <w:rFonts w:ascii="Cambria Math" w:hAnsi="Cambria Math"/>
                <w:i/>
                <w:iCs/>
              </w:rPr>
            </m:ctrlPr>
          </m:sSubSupPr>
          <m:e>
            <m:r>
              <w:rPr>
                <w:rFonts w:ascii="Cambria Math" w:hAnsi="Cambria Math"/>
              </w:rPr>
              <m:t>D</m:t>
            </m:r>
          </m:e>
          <m:sub>
            <m:r>
              <w:rPr>
                <w:rFonts w:ascii="Cambria Math" w:hAnsi="Cambria Math"/>
              </w:rPr>
              <m:t>t</m:t>
            </m:r>
          </m:sub>
          <m:sup>
            <m:r>
              <w:rPr>
                <w:rFonts w:ascii="Cambria Math" w:hAnsi="Cambria Math"/>
              </w:rPr>
              <m:t>+</m:t>
            </m:r>
          </m:sup>
        </m:sSubSup>
      </m:oMath>
      <w:r w:rsidR="00CD2D90" w:rsidRPr="00C71655">
        <w:t xml:space="preserve"> - dummy variable for positive return</w:t>
      </w:r>
      <w:r w:rsidR="00C748F1" w:rsidRPr="00C71655">
        <w:t xml:space="preserve">, </w:t>
      </w:r>
      <m:oMath>
        <m:sSubSup>
          <m:sSubSupPr>
            <m:ctrlPr>
              <w:rPr>
                <w:rFonts w:ascii="Cambria Math" w:hAnsi="Cambria Math"/>
                <w:i/>
                <w:iCs/>
              </w:rPr>
            </m:ctrlPr>
          </m:sSubSupPr>
          <m:e>
            <m:r>
              <w:rPr>
                <w:rFonts w:ascii="Cambria Math" w:hAnsi="Cambria Math"/>
              </w:rPr>
              <m:t>D</m:t>
            </m:r>
          </m:e>
          <m:sub>
            <m:r>
              <w:rPr>
                <w:rFonts w:ascii="Cambria Math" w:hAnsi="Cambria Math"/>
              </w:rPr>
              <m:t>t</m:t>
            </m:r>
          </m:sub>
          <m:sup>
            <m:r>
              <w:rPr>
                <w:rFonts w:ascii="Cambria Math" w:hAnsi="Cambria Math"/>
              </w:rPr>
              <m:t>+</m:t>
            </m:r>
          </m:sup>
        </m:sSubSup>
        <m:r>
          <w:rPr>
            <w:rFonts w:ascii="Cambria Math" w:hAnsi="Cambria Math"/>
          </w:rPr>
          <m:t>=1</m:t>
        </m:r>
      </m:oMath>
      <w:r w:rsidR="00C748F1" w:rsidRPr="00C71655">
        <w:rPr>
          <w:iCs/>
        </w:rPr>
        <w:t xml:space="preserve"> when </w:t>
      </w:r>
      <m:oMath>
        <m:sSub>
          <m:sSubPr>
            <m:ctrlPr>
              <w:rPr>
                <w:rFonts w:ascii="Cambria Math" w:hAnsi="Cambria Math"/>
                <w:i/>
                <w:iCs/>
              </w:rPr>
            </m:ctrlPr>
          </m:sSubPr>
          <m:e>
            <m:r>
              <w:rPr>
                <w:rFonts w:ascii="Cambria Math" w:hAnsi="Cambria Math"/>
              </w:rPr>
              <m:t>r</m:t>
            </m:r>
          </m:e>
          <m:sub>
            <m:r>
              <w:rPr>
                <w:rFonts w:ascii="Cambria Math" w:hAnsi="Cambria Math"/>
              </w:rPr>
              <m:t>ETF,t</m:t>
            </m:r>
          </m:sub>
        </m:sSub>
      </m:oMath>
      <w:r w:rsidR="00C748F1" w:rsidRPr="00C71655">
        <w:rPr>
          <w:iCs/>
        </w:rPr>
        <w:t xml:space="preserve"> is positive</w:t>
      </w:r>
    </w:p>
    <w:p w:rsidR="005E2ADD" w:rsidRPr="00C71655" w:rsidRDefault="005E2ADD" w:rsidP="005E2ADD">
      <w:pPr>
        <w:spacing w:line="360" w:lineRule="auto"/>
        <w:rPr>
          <w:i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68"/>
        <w:gridCol w:w="1980"/>
        <w:gridCol w:w="1843"/>
        <w:gridCol w:w="1559"/>
        <w:gridCol w:w="1417"/>
      </w:tblGrid>
      <w:tr w:rsidR="004B5C4F" w:rsidRPr="00C71655" w:rsidTr="00F9011A">
        <w:trPr>
          <w:trHeight w:val="320"/>
        </w:trPr>
        <w:tc>
          <w:tcPr>
            <w:tcW w:w="2268" w:type="dxa"/>
            <w:shd w:val="clear" w:color="auto" w:fill="AEAAAA" w:themeFill="background2" w:themeFillShade="BF"/>
            <w:tcMar>
              <w:top w:w="15" w:type="dxa"/>
              <w:left w:w="15" w:type="dxa"/>
              <w:bottom w:w="0" w:type="dxa"/>
              <w:right w:w="15" w:type="dxa"/>
            </w:tcMar>
            <w:vAlign w:val="bottom"/>
            <w:hideMark/>
          </w:tcPr>
          <w:p w:rsidR="004B5C4F" w:rsidRPr="00C71655" w:rsidRDefault="004B5C4F" w:rsidP="004B5C4F">
            <w:pPr>
              <w:spacing w:line="360" w:lineRule="auto"/>
            </w:pPr>
            <w:r w:rsidRPr="00C71655">
              <w:t> </w:t>
            </w:r>
          </w:p>
        </w:tc>
        <w:tc>
          <w:tcPr>
            <w:tcW w:w="1980" w:type="dxa"/>
            <w:shd w:val="clear" w:color="auto" w:fill="AEAAAA" w:themeFill="background2" w:themeFillShade="BF"/>
            <w:tcMar>
              <w:top w:w="15" w:type="dxa"/>
              <w:left w:w="15" w:type="dxa"/>
              <w:bottom w:w="0" w:type="dxa"/>
              <w:right w:w="15" w:type="dxa"/>
            </w:tcMar>
            <w:vAlign w:val="bottom"/>
            <w:hideMark/>
          </w:tcPr>
          <w:p w:rsidR="004B5C4F" w:rsidRPr="00C71655" w:rsidRDefault="004B5C4F" w:rsidP="004B5C4F">
            <w:pPr>
              <w:spacing w:line="360" w:lineRule="auto"/>
            </w:pPr>
            <w:r w:rsidRPr="00C71655">
              <w:t>Coefficients</w:t>
            </w:r>
          </w:p>
        </w:tc>
        <w:tc>
          <w:tcPr>
            <w:tcW w:w="1843" w:type="dxa"/>
            <w:shd w:val="clear" w:color="auto" w:fill="AEAAAA" w:themeFill="background2" w:themeFillShade="BF"/>
            <w:tcMar>
              <w:top w:w="15" w:type="dxa"/>
              <w:left w:w="15" w:type="dxa"/>
              <w:bottom w:w="0" w:type="dxa"/>
              <w:right w:w="15" w:type="dxa"/>
            </w:tcMar>
            <w:vAlign w:val="bottom"/>
            <w:hideMark/>
          </w:tcPr>
          <w:p w:rsidR="004B5C4F" w:rsidRPr="00C71655" w:rsidRDefault="004B5C4F" w:rsidP="004B5C4F">
            <w:pPr>
              <w:spacing w:line="360" w:lineRule="auto"/>
            </w:pPr>
            <w:r w:rsidRPr="00C71655">
              <w:t>Standard Error</w:t>
            </w:r>
          </w:p>
        </w:tc>
        <w:tc>
          <w:tcPr>
            <w:tcW w:w="1559" w:type="dxa"/>
            <w:shd w:val="clear" w:color="auto" w:fill="AEAAAA" w:themeFill="background2" w:themeFillShade="BF"/>
            <w:tcMar>
              <w:top w:w="15" w:type="dxa"/>
              <w:left w:w="15" w:type="dxa"/>
              <w:bottom w:w="0" w:type="dxa"/>
              <w:right w:w="15" w:type="dxa"/>
            </w:tcMar>
            <w:vAlign w:val="bottom"/>
            <w:hideMark/>
          </w:tcPr>
          <w:p w:rsidR="004B5C4F" w:rsidRPr="00C71655" w:rsidRDefault="004B5C4F" w:rsidP="004B5C4F">
            <w:pPr>
              <w:spacing w:line="360" w:lineRule="auto"/>
            </w:pPr>
            <w:r w:rsidRPr="00C71655">
              <w:t>t Stat</w:t>
            </w:r>
          </w:p>
        </w:tc>
        <w:tc>
          <w:tcPr>
            <w:tcW w:w="1417" w:type="dxa"/>
            <w:shd w:val="clear" w:color="auto" w:fill="AEAAAA" w:themeFill="background2" w:themeFillShade="BF"/>
            <w:tcMar>
              <w:top w:w="15" w:type="dxa"/>
              <w:left w:w="15" w:type="dxa"/>
              <w:bottom w:w="0" w:type="dxa"/>
              <w:right w:w="15" w:type="dxa"/>
            </w:tcMar>
            <w:vAlign w:val="bottom"/>
            <w:hideMark/>
          </w:tcPr>
          <w:p w:rsidR="004B5C4F" w:rsidRPr="00C71655" w:rsidRDefault="004B5C4F" w:rsidP="004B5C4F">
            <w:pPr>
              <w:spacing w:line="360" w:lineRule="auto"/>
            </w:pPr>
            <w:r w:rsidRPr="00C71655">
              <w:t>P-value</w:t>
            </w:r>
          </w:p>
        </w:tc>
      </w:tr>
      <w:tr w:rsidR="004B5C4F" w:rsidRPr="00C71655" w:rsidTr="00F9011A">
        <w:trPr>
          <w:trHeight w:val="320"/>
        </w:trPr>
        <w:tc>
          <w:tcPr>
            <w:tcW w:w="2268"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Intercept</w:t>
            </w:r>
          </w:p>
        </w:tc>
        <w:tc>
          <w:tcPr>
            <w:tcW w:w="1980"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2.17488E-05</w:t>
            </w:r>
          </w:p>
        </w:tc>
        <w:tc>
          <w:tcPr>
            <w:tcW w:w="1843"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0.00014538</w:t>
            </w:r>
          </w:p>
        </w:tc>
        <w:tc>
          <w:tcPr>
            <w:tcW w:w="1559"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0.14959737</w:t>
            </w:r>
          </w:p>
        </w:tc>
        <w:tc>
          <w:tcPr>
            <w:tcW w:w="1417"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0.88108268</w:t>
            </w:r>
          </w:p>
        </w:tc>
      </w:tr>
      <w:tr w:rsidR="004B5C4F" w:rsidRPr="00C71655" w:rsidTr="00F9011A">
        <w:trPr>
          <w:trHeight w:val="320"/>
        </w:trPr>
        <w:tc>
          <w:tcPr>
            <w:tcW w:w="2268"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 xml:space="preserve">Positive Return </w:t>
            </w:r>
            <m:oMath>
              <m:sSubSup>
                <m:sSubSupPr>
                  <m:ctrlPr>
                    <w:rPr>
                      <w:rFonts w:ascii="Cambria Math" w:hAnsi="Cambria Math"/>
                      <w:i/>
                      <w:iCs/>
                    </w:rPr>
                  </m:ctrlPr>
                </m:sSubSupPr>
                <m:e>
                  <m:r>
                    <w:rPr>
                      <w:rFonts w:ascii="Cambria Math" w:hAnsi="Cambria Math"/>
                    </w:rPr>
                    <m:t>β</m:t>
                  </m:r>
                </m:e>
                <m:sub>
                  <m:r>
                    <w:rPr>
                      <w:rFonts w:ascii="Cambria Math" w:hAnsi="Cambria Math"/>
                    </w:rPr>
                    <m:t>1</m:t>
                  </m:r>
                </m:sub>
                <m:sup>
                  <m:r>
                    <w:rPr>
                      <w:rFonts w:ascii="Cambria Math" w:hAnsi="Cambria Math"/>
                    </w:rPr>
                    <m:t>+</m:t>
                  </m:r>
                </m:sup>
              </m:sSubSup>
            </m:oMath>
          </w:p>
        </w:tc>
        <w:tc>
          <w:tcPr>
            <w:tcW w:w="1980" w:type="dxa"/>
            <w:shd w:val="clear" w:color="auto" w:fill="FFC000"/>
            <w:tcMar>
              <w:top w:w="15" w:type="dxa"/>
              <w:left w:w="15" w:type="dxa"/>
              <w:bottom w:w="0" w:type="dxa"/>
              <w:right w:w="15" w:type="dxa"/>
            </w:tcMar>
            <w:vAlign w:val="bottom"/>
            <w:hideMark/>
          </w:tcPr>
          <w:p w:rsidR="004B5C4F" w:rsidRPr="00C71655" w:rsidRDefault="004B5C4F" w:rsidP="004B5C4F">
            <w:pPr>
              <w:spacing w:line="360" w:lineRule="auto"/>
            </w:pPr>
            <w:r w:rsidRPr="00C71655">
              <w:t>0.172507094</w:t>
            </w:r>
          </w:p>
        </w:tc>
        <w:tc>
          <w:tcPr>
            <w:tcW w:w="1843"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0.04613112</w:t>
            </w:r>
          </w:p>
        </w:tc>
        <w:tc>
          <w:tcPr>
            <w:tcW w:w="1559"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3.73949541</w:t>
            </w:r>
          </w:p>
        </w:tc>
        <w:tc>
          <w:tcPr>
            <w:tcW w:w="1417"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0.00018452</w:t>
            </w:r>
          </w:p>
        </w:tc>
      </w:tr>
      <w:tr w:rsidR="004B5C4F" w:rsidRPr="00C71655" w:rsidTr="00F9011A">
        <w:trPr>
          <w:trHeight w:val="320"/>
        </w:trPr>
        <w:tc>
          <w:tcPr>
            <w:tcW w:w="2268"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 xml:space="preserve">Negative Return </w:t>
            </w:r>
            <m:oMath>
              <m:sSubSup>
                <m:sSubSupPr>
                  <m:ctrlPr>
                    <w:rPr>
                      <w:rFonts w:ascii="Cambria Math" w:hAnsi="Cambria Math"/>
                      <w:i/>
                      <w:iCs/>
                    </w:rPr>
                  </m:ctrlPr>
                </m:sSubSupPr>
                <m:e>
                  <m:r>
                    <w:rPr>
                      <w:rFonts w:ascii="Cambria Math" w:hAnsi="Cambria Math"/>
                    </w:rPr>
                    <m:t>β</m:t>
                  </m:r>
                </m:e>
                <m:sub>
                  <m:r>
                    <w:rPr>
                      <w:rFonts w:ascii="Cambria Math" w:hAnsi="Cambria Math"/>
                    </w:rPr>
                    <m:t>1</m:t>
                  </m:r>
                </m:sub>
                <m:sup>
                  <m:r>
                    <w:rPr>
                      <w:rFonts w:ascii="Cambria Math" w:hAnsi="Cambria Math"/>
                    </w:rPr>
                    <m:t>-</m:t>
                  </m:r>
                </m:sup>
              </m:sSubSup>
            </m:oMath>
          </w:p>
        </w:tc>
        <w:tc>
          <w:tcPr>
            <w:tcW w:w="1980" w:type="dxa"/>
            <w:shd w:val="clear" w:color="auto" w:fill="FFC000"/>
            <w:tcMar>
              <w:top w:w="15" w:type="dxa"/>
              <w:left w:w="15" w:type="dxa"/>
              <w:bottom w:w="0" w:type="dxa"/>
              <w:right w:w="15" w:type="dxa"/>
            </w:tcMar>
            <w:vAlign w:val="bottom"/>
            <w:hideMark/>
          </w:tcPr>
          <w:p w:rsidR="004B5C4F" w:rsidRPr="00C71655" w:rsidRDefault="004B5C4F" w:rsidP="004B5C4F">
            <w:pPr>
              <w:spacing w:line="360" w:lineRule="auto"/>
            </w:pPr>
            <w:r w:rsidRPr="00C71655">
              <w:t>-1.977959687</w:t>
            </w:r>
          </w:p>
        </w:tc>
        <w:tc>
          <w:tcPr>
            <w:tcW w:w="1843"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0.04673976</w:t>
            </w:r>
          </w:p>
        </w:tc>
        <w:tc>
          <w:tcPr>
            <w:tcW w:w="1559"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-42.318567</w:t>
            </w:r>
          </w:p>
        </w:tc>
        <w:tc>
          <w:tcPr>
            <w:tcW w:w="1417"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w:t>
            </w:r>
          </w:p>
        </w:tc>
      </w:tr>
      <w:tr w:rsidR="004B5C4F" w:rsidRPr="00C71655" w:rsidTr="00F9011A">
        <w:trPr>
          <w:trHeight w:val="320"/>
        </w:trPr>
        <w:tc>
          <w:tcPr>
            <w:tcW w:w="2268"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Positive Dummy</w:t>
            </w:r>
            <m:oMath>
              <m:r>
                <m:rPr>
                  <m:sty m:val="p"/>
                </m:rPr>
                <w:rPr>
                  <w:rFonts w:ascii="Cambria Math" w:hAnsi="Cambria Math"/>
                </w:rPr>
                <m:t> </m:t>
              </m:r>
              <m:sSubSup>
                <m:sSubSupPr>
                  <m:ctrlPr>
                    <w:rPr>
                      <w:rFonts w:ascii="Cambria Math" w:hAnsi="Cambria Math"/>
                      <w:i/>
                      <w:iCs/>
                    </w:rPr>
                  </m:ctrlPr>
                </m:sSubSupPr>
                <m:e>
                  <m:r>
                    <w:rPr>
                      <w:rFonts w:ascii="Cambria Math" w:hAnsi="Cambria Math"/>
                    </w:rPr>
                    <m:t>β</m:t>
                  </m:r>
                </m:e>
                <m:sub>
                  <m:r>
                    <w:rPr>
                      <w:rFonts w:ascii="Cambria Math" w:hAnsi="Cambria Math"/>
                    </w:rPr>
                    <m:t>0</m:t>
                  </m:r>
                </m:sub>
                <m:sup>
                  <m:r>
                    <w:rPr>
                      <w:rFonts w:ascii="Cambria Math" w:hAnsi="Cambria Math"/>
                    </w:rPr>
                    <m:t>+</m:t>
                  </m:r>
                </m:sup>
              </m:sSubSup>
            </m:oMath>
          </w:p>
        </w:tc>
        <w:tc>
          <w:tcPr>
            <w:tcW w:w="1980"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-9.18224E-05</w:t>
            </w:r>
          </w:p>
        </w:tc>
        <w:tc>
          <w:tcPr>
            <w:tcW w:w="1843"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0.00014621</w:t>
            </w:r>
          </w:p>
        </w:tc>
        <w:tc>
          <w:tcPr>
            <w:tcW w:w="1559"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-0.6280154</w:t>
            </w:r>
          </w:p>
        </w:tc>
        <w:tc>
          <w:tcPr>
            <w:tcW w:w="1417"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0.52999575</w:t>
            </w:r>
          </w:p>
        </w:tc>
      </w:tr>
      <w:tr w:rsidR="004B5C4F" w:rsidRPr="00C71655" w:rsidTr="00F9011A">
        <w:trPr>
          <w:trHeight w:val="340"/>
        </w:trPr>
        <w:tc>
          <w:tcPr>
            <w:tcW w:w="2268"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 xml:space="preserve">Negative Dummy </w:t>
            </w:r>
            <m:oMath>
              <m:sSubSup>
                <m:sSubSupPr>
                  <m:ctrlPr>
                    <w:rPr>
                      <w:rFonts w:ascii="Cambria Math" w:hAnsi="Cambria Math"/>
                      <w:i/>
                      <w:iCs/>
                    </w:rPr>
                  </m:ctrlPr>
                </m:sSubSupPr>
                <m:e>
                  <m:r>
                    <w:rPr>
                      <w:rFonts w:ascii="Cambria Math" w:hAnsi="Cambria Math"/>
                    </w:rPr>
                    <m:t>β</m:t>
                  </m:r>
                </m:e>
                <m:sub>
                  <m:r>
                    <w:rPr>
                      <w:rFonts w:ascii="Cambria Math" w:hAnsi="Cambria Math"/>
                    </w:rPr>
                    <m:t>0</m:t>
                  </m:r>
                </m:sub>
                <m:sup>
                  <m:r>
                    <w:rPr>
                      <w:rFonts w:ascii="Cambria Math" w:hAnsi="Cambria Math"/>
                    </w:rPr>
                    <m:t>-</m:t>
                  </m:r>
                </m:sup>
              </m:sSubSup>
            </m:oMath>
          </w:p>
        </w:tc>
        <w:tc>
          <w:tcPr>
            <w:tcW w:w="1980"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-0.000339909</w:t>
            </w:r>
          </w:p>
        </w:tc>
        <w:tc>
          <w:tcPr>
            <w:tcW w:w="1843"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0.00014615</w:t>
            </w:r>
          </w:p>
        </w:tc>
        <w:tc>
          <w:tcPr>
            <w:tcW w:w="1559"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-2.3257137</w:t>
            </w:r>
          </w:p>
        </w:tc>
        <w:tc>
          <w:tcPr>
            <w:tcW w:w="1417" w:type="dxa"/>
            <w:shd w:val="clear" w:color="auto" w:fill="auto"/>
            <w:tcMar>
              <w:top w:w="15" w:type="dxa"/>
              <w:left w:w="15" w:type="dxa"/>
              <w:bottom w:w="0" w:type="dxa"/>
              <w:right w:w="15" w:type="dxa"/>
            </w:tcMar>
            <w:vAlign w:val="bottom"/>
            <w:hideMark/>
          </w:tcPr>
          <w:p w:rsidR="004B5C4F" w:rsidRPr="00C71655" w:rsidRDefault="004B5C4F" w:rsidP="004B5C4F">
            <w:pPr>
              <w:spacing w:line="360" w:lineRule="auto"/>
            </w:pPr>
            <w:r w:rsidRPr="00C71655">
              <w:t>0.02003644</w:t>
            </w:r>
          </w:p>
        </w:tc>
      </w:tr>
    </w:tbl>
    <w:p w:rsidR="004B5C4F" w:rsidRPr="00C71655" w:rsidRDefault="005E2ADD" w:rsidP="004960FD">
      <w:pPr>
        <w:spacing w:line="480" w:lineRule="auto"/>
        <w:jc w:val="center"/>
        <w:rPr>
          <w:i/>
          <w:color w:val="595959" w:themeColor="text1" w:themeTint="A6"/>
          <w:sz w:val="21"/>
        </w:rPr>
      </w:pPr>
      <w:r w:rsidRPr="00C71655">
        <w:rPr>
          <w:i/>
          <w:color w:val="595959" w:themeColor="text1" w:themeTint="A6"/>
          <w:sz w:val="21"/>
        </w:rPr>
        <w:t xml:space="preserve">Table </w:t>
      </w:r>
      <w:r w:rsidRPr="00C71655">
        <w:rPr>
          <w:i/>
          <w:color w:val="595959" w:themeColor="text1" w:themeTint="A6"/>
          <w:sz w:val="21"/>
        </w:rPr>
        <w:fldChar w:fldCharType="begin"/>
      </w:r>
      <w:r w:rsidRPr="00C71655">
        <w:rPr>
          <w:i/>
          <w:color w:val="595959" w:themeColor="text1" w:themeTint="A6"/>
          <w:sz w:val="21"/>
        </w:rPr>
        <w:instrText xml:space="preserve"> SEQ Table \* ARABIC </w:instrText>
      </w:r>
      <w:r w:rsidRPr="00C71655">
        <w:rPr>
          <w:i/>
          <w:color w:val="595959" w:themeColor="text1" w:themeTint="A6"/>
          <w:sz w:val="21"/>
        </w:rPr>
        <w:fldChar w:fldCharType="separate"/>
      </w:r>
      <w:r w:rsidR="00415D3F" w:rsidRPr="00C71655">
        <w:rPr>
          <w:i/>
          <w:noProof/>
          <w:color w:val="595959" w:themeColor="text1" w:themeTint="A6"/>
          <w:sz w:val="21"/>
        </w:rPr>
        <w:t>2</w:t>
      </w:r>
      <w:r w:rsidRPr="00C71655">
        <w:rPr>
          <w:i/>
          <w:color w:val="595959" w:themeColor="text1" w:themeTint="A6"/>
          <w:sz w:val="21"/>
        </w:rPr>
        <w:fldChar w:fldCharType="end"/>
      </w:r>
      <w:r w:rsidRPr="00C71655">
        <w:rPr>
          <w:i/>
          <w:color w:val="595959" w:themeColor="text1" w:themeTint="A6"/>
          <w:sz w:val="21"/>
        </w:rPr>
        <w:t xml:space="preserve"> Regression Result of positive return &amp; negative return</w:t>
      </w:r>
    </w:p>
    <w:p w:rsidR="00BD2BA3" w:rsidRPr="00C71655" w:rsidRDefault="00CF6E28" w:rsidP="00785762">
      <w:pPr>
        <w:spacing w:line="480" w:lineRule="auto"/>
        <w:ind w:firstLine="720"/>
        <w:rPr>
          <w:iCs/>
        </w:rPr>
      </w:pPr>
      <w:r w:rsidRPr="00C71655">
        <w:t xml:space="preserve">From the regression result, </w:t>
      </w:r>
      <m:oMath>
        <m:sSubSup>
          <m:sSubSupPr>
            <m:ctrlPr>
              <w:rPr>
                <w:rFonts w:ascii="Cambria Math" w:hAnsi="Cambria Math"/>
                <w:i/>
                <w:iCs/>
              </w:rPr>
            </m:ctrlPr>
          </m:sSubSupPr>
          <m:e>
            <m:r>
              <w:rPr>
                <w:rFonts w:ascii="Cambria Math" w:hAnsi="Cambria Math"/>
              </w:rPr>
              <m:t>β</m:t>
            </m:r>
          </m:e>
          <m:sub>
            <m:r>
              <w:rPr>
                <w:rFonts w:ascii="Cambria Math" w:hAnsi="Cambria Math"/>
              </w:rPr>
              <m:t>1</m:t>
            </m:r>
          </m:sub>
          <m:sup>
            <m:r>
              <w:rPr>
                <w:rFonts w:ascii="Cambria Math" w:hAnsi="Cambria Math"/>
              </w:rPr>
              <m:t>+</m:t>
            </m:r>
          </m:sup>
        </m:sSubSup>
      </m:oMath>
      <w:r w:rsidRPr="00C71655">
        <w:rPr>
          <w:iCs/>
        </w:rPr>
        <w:t xml:space="preserve"> has a significant positive value and </w:t>
      </w:r>
      <m:oMath>
        <m:sSubSup>
          <m:sSubSupPr>
            <m:ctrlPr>
              <w:rPr>
                <w:rFonts w:ascii="Cambria Math" w:hAnsi="Cambria Math"/>
                <w:i/>
                <w:iCs/>
              </w:rPr>
            </m:ctrlPr>
          </m:sSubSupPr>
          <m:e>
            <m:r>
              <w:rPr>
                <w:rFonts w:ascii="Cambria Math" w:hAnsi="Cambria Math"/>
              </w:rPr>
              <m:t>β</m:t>
            </m:r>
          </m:e>
          <m:sub>
            <m:r>
              <w:rPr>
                <w:rFonts w:ascii="Cambria Math" w:hAnsi="Cambria Math"/>
              </w:rPr>
              <m:t>1</m:t>
            </m:r>
          </m:sub>
          <m:sup>
            <m:r>
              <w:rPr>
                <w:rFonts w:ascii="Cambria Math" w:hAnsi="Cambria Math"/>
              </w:rPr>
              <m:t>-</m:t>
            </m:r>
          </m:sup>
        </m:sSubSup>
      </m:oMath>
      <w:r w:rsidRPr="00C71655">
        <w:rPr>
          <w:iCs/>
        </w:rPr>
        <w:t xml:space="preserve"> has a significant negative value</w:t>
      </w:r>
      <w:r w:rsidR="001B36D4" w:rsidRPr="00C71655">
        <w:rPr>
          <w:iCs/>
        </w:rPr>
        <w:t xml:space="preserve">. It means that for positive and negative return, IVIX would increase in both cases. This </w:t>
      </w:r>
      <w:r w:rsidR="00785762">
        <w:rPr>
          <w:iCs/>
        </w:rPr>
        <w:t>contradicts</w:t>
      </w:r>
      <w:r w:rsidR="001B36D4" w:rsidRPr="00C71655">
        <w:rPr>
          <w:iCs/>
        </w:rPr>
        <w:t xml:space="preserve"> the literature and empirical results in </w:t>
      </w:r>
      <w:r w:rsidR="00615573">
        <w:rPr>
          <w:iCs/>
        </w:rPr>
        <w:t xml:space="preserve">the </w:t>
      </w:r>
      <w:r w:rsidR="001B36D4" w:rsidRPr="00C71655">
        <w:rPr>
          <w:iCs/>
        </w:rPr>
        <w:t>US market where strong negative correlation is observed.</w:t>
      </w:r>
      <w:r w:rsidR="0086417E" w:rsidRPr="00C71655">
        <w:rPr>
          <w:iCs/>
        </w:rPr>
        <w:t xml:space="preserve"> </w:t>
      </w:r>
      <w:r w:rsidR="00415D3F" w:rsidRPr="00C71655">
        <w:rPr>
          <w:iCs/>
        </w:rPr>
        <w:t>Our</w:t>
      </w:r>
      <w:r w:rsidR="004F1CA8" w:rsidRPr="00C71655">
        <w:rPr>
          <w:iCs/>
        </w:rPr>
        <w:t xml:space="preserve"> result shows that the negative effect only appears on negative returns, while positive return is positively related to VIX. </w:t>
      </w:r>
      <w:r w:rsidR="00C770B3" w:rsidRPr="00C71655">
        <w:rPr>
          <w:iCs/>
        </w:rPr>
        <w:t>Although the conclusion is surprising, t</w:t>
      </w:r>
      <w:r w:rsidR="004F1CA8" w:rsidRPr="00C71655">
        <w:rPr>
          <w:iCs/>
        </w:rPr>
        <w:t>his paper is not the first to document this phenomenon</w:t>
      </w:r>
      <w:r w:rsidR="00850D82">
        <w:rPr>
          <w:iCs/>
        </w:rPr>
        <w:t xml:space="preserve"> in the Chinese market</w:t>
      </w:r>
      <w:r w:rsidR="004F1CA8" w:rsidRPr="00C71655">
        <w:rPr>
          <w:iCs/>
        </w:rPr>
        <w:t xml:space="preserve">. The result corresponds to Li, Yu and Luo’s paper (2019). Li et al. </w:t>
      </w:r>
      <w:r w:rsidR="00F60398">
        <w:rPr>
          <w:iCs/>
        </w:rPr>
        <w:t xml:space="preserve">(2019) </w:t>
      </w:r>
      <w:r w:rsidR="004F1CA8" w:rsidRPr="00C71655">
        <w:rPr>
          <w:iCs/>
        </w:rPr>
        <w:t xml:space="preserve">provide high frequency empirical evidence that over a long sample period, IVIX and its underlying return are overall positive correlated. </w:t>
      </w:r>
      <w:r w:rsidR="00D52602" w:rsidRPr="00C71655">
        <w:rPr>
          <w:iCs/>
        </w:rPr>
        <w:t xml:space="preserve">They </w:t>
      </w:r>
      <w:r w:rsidR="004F1CA8" w:rsidRPr="00C71655">
        <w:rPr>
          <w:iCs/>
        </w:rPr>
        <w:t xml:space="preserve">extract sub-period of market decline, </w:t>
      </w:r>
      <w:r w:rsidR="00D52602" w:rsidRPr="00C71655">
        <w:rPr>
          <w:iCs/>
        </w:rPr>
        <w:t xml:space="preserve">and </w:t>
      </w:r>
      <w:r w:rsidR="002B48BB" w:rsidRPr="00C71655">
        <w:rPr>
          <w:iCs/>
        </w:rPr>
        <w:t xml:space="preserve">therefore conclude that although the </w:t>
      </w:r>
      <w:r w:rsidR="00C770B3" w:rsidRPr="00C71655">
        <w:rPr>
          <w:iCs/>
        </w:rPr>
        <w:t xml:space="preserve">overall </w:t>
      </w:r>
      <w:r w:rsidR="002B48BB" w:rsidRPr="00C71655">
        <w:rPr>
          <w:iCs/>
        </w:rPr>
        <w:t xml:space="preserve">correlation is positive, there </w:t>
      </w:r>
      <w:r w:rsidR="00F60398">
        <w:rPr>
          <w:iCs/>
        </w:rPr>
        <w:t>still exist</w:t>
      </w:r>
      <w:r w:rsidR="002B48BB" w:rsidRPr="00C71655">
        <w:rPr>
          <w:iCs/>
        </w:rPr>
        <w:t xml:space="preserve"> strong </w:t>
      </w:r>
      <w:r w:rsidR="002B48BB" w:rsidRPr="00C71655">
        <w:rPr>
          <w:iCs/>
        </w:rPr>
        <w:lastRenderedPageBreak/>
        <w:t xml:space="preserve">negative relation between SSE 50 ETF return and IVIX during large market fluctuations and especially in negative return. </w:t>
      </w:r>
      <w:r w:rsidR="004F1CA8" w:rsidRPr="00C71655">
        <w:rPr>
          <w:iCs/>
        </w:rPr>
        <w:t xml:space="preserve">Although Li et al. </w:t>
      </w:r>
      <w:r w:rsidR="00AF01B5" w:rsidRPr="00C71655">
        <w:rPr>
          <w:iCs/>
        </w:rPr>
        <w:t>use</w:t>
      </w:r>
      <w:r w:rsidR="004F1CA8" w:rsidRPr="00C71655">
        <w:rPr>
          <w:iCs/>
        </w:rPr>
        <w:t xml:space="preserve"> different sample period, </w:t>
      </w:r>
      <w:r w:rsidR="002B48BB" w:rsidRPr="00C71655">
        <w:rPr>
          <w:iCs/>
        </w:rPr>
        <w:t>their result corresponds to this paper’s conclusion</w:t>
      </w:r>
      <w:r w:rsidR="00AF01B5" w:rsidRPr="00C71655">
        <w:rPr>
          <w:iCs/>
        </w:rPr>
        <w:t>. Zheng, Jiang and Chen (2016)</w:t>
      </w:r>
      <w:r w:rsidR="003F7221" w:rsidRPr="00C71655">
        <w:rPr>
          <w:iCs/>
        </w:rPr>
        <w:t xml:space="preserve"> ascribe the positive correlation to the unique investor structure in Chinese market. </w:t>
      </w:r>
      <w:r w:rsidR="00C92C45" w:rsidRPr="00C71655">
        <w:rPr>
          <w:iCs/>
        </w:rPr>
        <w:t xml:space="preserve">Since SSE 50 ETF is the first traded option in Chinese market, the lack of experience of investors may lead to different trading patterns. </w:t>
      </w:r>
      <w:r w:rsidR="003F7221" w:rsidRPr="00C71655">
        <w:rPr>
          <w:iCs/>
        </w:rPr>
        <w:t>Comparing to the large proportion of institutional investors in US market, retail investors are dominating in Chinese market.</w:t>
      </w:r>
      <w:r w:rsidR="00F758C0" w:rsidRPr="00C71655">
        <w:rPr>
          <w:iCs/>
        </w:rPr>
        <w:t xml:space="preserve"> </w:t>
      </w:r>
      <w:r w:rsidR="00D52602" w:rsidRPr="00C71655">
        <w:rPr>
          <w:iCs/>
        </w:rPr>
        <w:t>Different from</w:t>
      </w:r>
      <w:r w:rsidR="00F758C0" w:rsidRPr="00C71655">
        <w:rPr>
          <w:iCs/>
        </w:rPr>
        <w:t xml:space="preserve"> institutional investors, Retail investors </w:t>
      </w:r>
      <w:r w:rsidR="00BD2BA3" w:rsidRPr="00C71655">
        <w:rPr>
          <w:iCs/>
        </w:rPr>
        <w:t xml:space="preserve">usually </w:t>
      </w:r>
      <w:r w:rsidR="00F758C0" w:rsidRPr="00C71655">
        <w:rPr>
          <w:iCs/>
        </w:rPr>
        <w:t xml:space="preserve">don’t </w:t>
      </w:r>
      <w:r w:rsidR="00BD2BA3" w:rsidRPr="00C71655">
        <w:rPr>
          <w:iCs/>
        </w:rPr>
        <w:t>obey</w:t>
      </w:r>
      <w:r w:rsidR="00F758C0" w:rsidRPr="00C71655">
        <w:rPr>
          <w:iCs/>
        </w:rPr>
        <w:t xml:space="preserve"> investment principles strictly or use </w:t>
      </w:r>
      <w:r w:rsidR="006B571F" w:rsidRPr="00C71655">
        <w:rPr>
          <w:iCs/>
        </w:rPr>
        <w:t>risk management tools. When market goes down, they will hold on to their stock due to loss aversion</w:t>
      </w:r>
      <w:r w:rsidR="00BD2BA3" w:rsidRPr="00C71655">
        <w:rPr>
          <w:iCs/>
        </w:rPr>
        <w:t xml:space="preserve">, leading to the decrease of volatility. </w:t>
      </w:r>
      <w:r w:rsidR="006B571F" w:rsidRPr="00C71655">
        <w:rPr>
          <w:iCs/>
        </w:rPr>
        <w:t xml:space="preserve">When market goes up, </w:t>
      </w:r>
      <w:r w:rsidR="00BD2BA3" w:rsidRPr="00C71655">
        <w:rPr>
          <w:iCs/>
        </w:rPr>
        <w:t xml:space="preserve">some investors will sell their stock with an intention to realize the profit, bringing the volatility up. Zheng et al. </w:t>
      </w:r>
      <w:r w:rsidR="00E62C9E">
        <w:rPr>
          <w:iCs/>
        </w:rPr>
        <w:t xml:space="preserve">(2016) </w:t>
      </w:r>
      <w:r w:rsidR="00BD2BA3" w:rsidRPr="00C71655">
        <w:rPr>
          <w:iCs/>
        </w:rPr>
        <w:t>therefore argue that IVIX should be considered as “greed index” rather than “fear index” in Chinese market. Li et al. corroborate this argument by taking a step further</w:t>
      </w:r>
      <w:r w:rsidR="00F9011A" w:rsidRPr="00C71655">
        <w:rPr>
          <w:iCs/>
        </w:rPr>
        <w:t xml:space="preserve"> by </w:t>
      </w:r>
      <w:r w:rsidR="00BD2BA3" w:rsidRPr="00C71655">
        <w:rPr>
          <w:iCs/>
        </w:rPr>
        <w:t xml:space="preserve">examining the </w:t>
      </w:r>
      <w:r w:rsidR="00F9011A" w:rsidRPr="00C71655">
        <w:rPr>
          <w:iCs/>
        </w:rPr>
        <w:t xml:space="preserve">negative </w:t>
      </w:r>
      <w:r w:rsidR="00BD2BA3" w:rsidRPr="00C71655">
        <w:rPr>
          <w:iCs/>
        </w:rPr>
        <w:t>correlation between VXFXI (CBOE China ETF Volatility Index) and the underlying FXI</w:t>
      </w:r>
      <w:r w:rsidR="00F9011A" w:rsidRPr="00C71655">
        <w:rPr>
          <w:iCs/>
        </w:rPr>
        <w:t xml:space="preserve">. </w:t>
      </w:r>
      <w:r w:rsidR="00D52602" w:rsidRPr="00C71655">
        <w:rPr>
          <w:iCs/>
        </w:rPr>
        <w:t xml:space="preserve"> </w:t>
      </w:r>
      <w:r w:rsidR="00E72367" w:rsidRPr="00C71655">
        <w:rPr>
          <w:iCs/>
        </w:rPr>
        <w:t xml:space="preserve">FXI has similar </w:t>
      </w:r>
      <w:r w:rsidR="00D52602" w:rsidRPr="00C71655">
        <w:rPr>
          <w:iCs/>
        </w:rPr>
        <w:t xml:space="preserve">underlying stock components </w:t>
      </w:r>
      <w:r w:rsidR="00E72367" w:rsidRPr="00C71655">
        <w:rPr>
          <w:iCs/>
        </w:rPr>
        <w:t>as</w:t>
      </w:r>
      <w:r w:rsidR="00D52602" w:rsidRPr="00C71655">
        <w:rPr>
          <w:iCs/>
        </w:rPr>
        <w:t xml:space="preserve"> </w:t>
      </w:r>
      <w:r w:rsidR="00F9011A" w:rsidRPr="00C71655">
        <w:rPr>
          <w:iCs/>
        </w:rPr>
        <w:t>SSE 50 Index</w:t>
      </w:r>
      <w:r w:rsidR="00E72367" w:rsidRPr="00C71655">
        <w:rPr>
          <w:iCs/>
        </w:rPr>
        <w:t>, while the only difference is that they are traded by different markets and investors</w:t>
      </w:r>
      <w:r w:rsidR="00102444" w:rsidRPr="00C71655">
        <w:rPr>
          <w:iCs/>
        </w:rPr>
        <w:t xml:space="preserve">, which supports Zheng’s argument about investor structure. </w:t>
      </w:r>
    </w:p>
    <w:p w:rsidR="00EF1FD7" w:rsidRPr="00E62C9E" w:rsidRDefault="00EF1FD7" w:rsidP="00E62C9E">
      <w:pPr>
        <w:pStyle w:val="ListParagraph"/>
        <w:numPr>
          <w:ilvl w:val="1"/>
          <w:numId w:val="13"/>
        </w:numPr>
        <w:spacing w:line="480" w:lineRule="auto"/>
        <w:rPr>
          <w:b/>
        </w:rPr>
      </w:pPr>
      <w:r w:rsidRPr="00E62C9E">
        <w:rPr>
          <w:b/>
        </w:rPr>
        <w:t xml:space="preserve">Asymmetric Effect: </w:t>
      </w:r>
    </w:p>
    <w:p w:rsidR="00E9112B" w:rsidRPr="00C71655" w:rsidRDefault="00415D3F" w:rsidP="00E62C9E">
      <w:pPr>
        <w:spacing w:line="480" w:lineRule="auto"/>
        <w:ind w:firstLine="720"/>
        <w:rPr>
          <w:iCs/>
        </w:rPr>
      </w:pPr>
      <w:r w:rsidRPr="00C71655">
        <w:t xml:space="preserve">We directly interpret the regression result of second model in </w:t>
      </w:r>
      <w:r w:rsidR="005E2ADD" w:rsidRPr="00C71655">
        <w:t xml:space="preserve">Table </w:t>
      </w:r>
      <w:r w:rsidRPr="00C71655">
        <w:t>2</w:t>
      </w:r>
      <w:r w:rsidR="005E2ADD" w:rsidRPr="00C71655">
        <w:t>,</w:t>
      </w:r>
      <w:r w:rsidR="00975227" w:rsidRPr="00C71655">
        <w:t xml:space="preserve"> </w:t>
      </w:r>
      <m:oMath>
        <m:sSubSup>
          <m:sSubSupPr>
            <m:ctrlPr>
              <w:rPr>
                <w:rFonts w:ascii="Cambria Math" w:hAnsi="Cambria Math"/>
                <w:i/>
                <w:iCs/>
              </w:rPr>
            </m:ctrlPr>
          </m:sSubSupPr>
          <m:e>
            <m:r>
              <w:rPr>
                <w:rFonts w:ascii="Cambria Math" w:hAnsi="Cambria Math"/>
              </w:rPr>
              <m:t>β</m:t>
            </m:r>
          </m:e>
          <m:sub>
            <m:r>
              <w:rPr>
                <w:rFonts w:ascii="Cambria Math" w:hAnsi="Cambria Math"/>
              </w:rPr>
              <m:t>1</m:t>
            </m:r>
          </m:sub>
          <m:sup>
            <m:r>
              <w:rPr>
                <w:rFonts w:ascii="Cambria Math" w:hAnsi="Cambria Math"/>
              </w:rPr>
              <m:t>-</m:t>
            </m:r>
          </m:sup>
        </m:sSubSup>
      </m:oMath>
      <w:r w:rsidR="00975227" w:rsidRPr="00C71655">
        <w:rPr>
          <w:iCs/>
        </w:rPr>
        <w:t xml:space="preserve"> is significantly larger in absolute value than </w:t>
      </w:r>
      <m:oMath>
        <m:sSubSup>
          <m:sSubSupPr>
            <m:ctrlPr>
              <w:rPr>
                <w:rFonts w:ascii="Cambria Math" w:hAnsi="Cambria Math"/>
                <w:i/>
                <w:iCs/>
              </w:rPr>
            </m:ctrlPr>
          </m:sSubSupPr>
          <m:e>
            <m:r>
              <w:rPr>
                <w:rFonts w:ascii="Cambria Math" w:hAnsi="Cambria Math"/>
              </w:rPr>
              <m:t>β</m:t>
            </m:r>
          </m:e>
          <m:sub>
            <m:r>
              <w:rPr>
                <w:rFonts w:ascii="Cambria Math" w:hAnsi="Cambria Math"/>
              </w:rPr>
              <m:t>1</m:t>
            </m:r>
          </m:sub>
          <m:sup>
            <m:r>
              <w:rPr>
                <w:rFonts w:ascii="Cambria Math" w:hAnsi="Cambria Math"/>
              </w:rPr>
              <m:t>+</m:t>
            </m:r>
          </m:sup>
        </m:sSubSup>
      </m:oMath>
      <w:r w:rsidR="00975227" w:rsidRPr="00C71655">
        <w:rPr>
          <w:iCs/>
        </w:rPr>
        <w:t>, which indicates that negative returns yield much larger relative changes in the IVIX than positive return. This is expected and documented in the literature</w:t>
      </w:r>
      <w:r w:rsidR="00840AA0" w:rsidRPr="00C71655">
        <w:rPr>
          <w:iCs/>
        </w:rPr>
        <w:t xml:space="preserve"> on both US and Chinese market</w:t>
      </w:r>
      <w:r w:rsidR="00975227" w:rsidRPr="00C71655">
        <w:rPr>
          <w:iCs/>
        </w:rPr>
        <w:t>.</w:t>
      </w:r>
      <w:r w:rsidR="00840AA0" w:rsidRPr="00C71655">
        <w:rPr>
          <w:iCs/>
        </w:rPr>
        <w:t xml:space="preserve"> As for the explanation of this asymmetric effect, </w:t>
      </w:r>
      <w:r w:rsidR="00DE31D2" w:rsidRPr="00C71655">
        <w:rPr>
          <w:iCs/>
        </w:rPr>
        <w:t>leverage hypothesis</w:t>
      </w:r>
      <w:r w:rsidR="00840AA0" w:rsidRPr="00C71655">
        <w:rPr>
          <w:iCs/>
        </w:rPr>
        <w:t xml:space="preserve"> </w:t>
      </w:r>
      <w:r w:rsidR="00DE31D2" w:rsidRPr="00C71655">
        <w:rPr>
          <w:iCs/>
        </w:rPr>
        <w:t>proposed by Black(1976) is supported by many other scholars. However, more recent</w:t>
      </w:r>
      <w:r w:rsidR="00CE13F3" w:rsidRPr="00C71655">
        <w:rPr>
          <w:iCs/>
        </w:rPr>
        <w:t xml:space="preserve"> studies provide strong empirical evidence showing that behavioral theories provide more explanation in intraday data than classic theories such as </w:t>
      </w:r>
      <w:r w:rsidR="00CE13F3" w:rsidRPr="00C71655">
        <w:rPr>
          <w:iCs/>
        </w:rPr>
        <w:lastRenderedPageBreak/>
        <w:t>leverage hypothesis and volatility feedback hypothesis.</w:t>
      </w:r>
      <w:r w:rsidR="0034527C" w:rsidRPr="00C71655">
        <w:rPr>
          <w:iCs/>
        </w:rPr>
        <w:t xml:space="preserve"> Comparing to the traditional theories which </w:t>
      </w:r>
      <w:r w:rsidR="00DD186A" w:rsidRPr="00C71655">
        <w:rPr>
          <w:iCs/>
        </w:rPr>
        <w:t xml:space="preserve">focuses on long term effect, behavioral theories </w:t>
      </w:r>
      <w:r w:rsidR="00271AB7" w:rsidRPr="00C71655">
        <w:rPr>
          <w:iCs/>
        </w:rPr>
        <w:t xml:space="preserve">such as representativeness and extrapolation bias </w:t>
      </w:r>
      <w:r w:rsidR="00DD186A" w:rsidRPr="00C71655">
        <w:rPr>
          <w:iCs/>
        </w:rPr>
        <w:t>have shorter response time</w:t>
      </w:r>
      <w:r w:rsidR="00B82294" w:rsidRPr="00C71655">
        <w:rPr>
          <w:iCs/>
        </w:rPr>
        <w:t>, meaning that we can observe the expected relationships in a smaller time</w:t>
      </w:r>
      <w:r w:rsidR="00033C68">
        <w:rPr>
          <w:iCs/>
        </w:rPr>
        <w:t xml:space="preserve"> </w:t>
      </w:r>
      <w:r w:rsidR="00B82294" w:rsidRPr="00C71655">
        <w:rPr>
          <w:iCs/>
        </w:rPr>
        <w:t xml:space="preserve">frame. It </w:t>
      </w:r>
      <w:r w:rsidR="00DD186A" w:rsidRPr="00C71655">
        <w:rPr>
          <w:iCs/>
        </w:rPr>
        <w:t xml:space="preserve">could </w:t>
      </w:r>
      <w:r w:rsidR="00B82FB8" w:rsidRPr="00C71655">
        <w:rPr>
          <w:iCs/>
        </w:rPr>
        <w:t xml:space="preserve">therefore </w:t>
      </w:r>
      <w:r w:rsidR="00271AB7" w:rsidRPr="00C71655">
        <w:rPr>
          <w:iCs/>
        </w:rPr>
        <w:t>justify the strong intraday evidence.</w:t>
      </w:r>
      <w:r w:rsidR="00DD186A" w:rsidRPr="00C71655">
        <w:rPr>
          <w:iCs/>
        </w:rPr>
        <w:t xml:space="preserve"> </w:t>
      </w:r>
      <w:r w:rsidR="0034527C" w:rsidRPr="00C71655">
        <w:rPr>
          <w:iCs/>
        </w:rPr>
        <w:t xml:space="preserve"> </w:t>
      </w:r>
    </w:p>
    <w:p w:rsidR="00CF7691" w:rsidRPr="00E62C9E" w:rsidRDefault="00734478" w:rsidP="00E62C9E">
      <w:pPr>
        <w:pStyle w:val="ListParagraph"/>
        <w:numPr>
          <w:ilvl w:val="1"/>
          <w:numId w:val="13"/>
        </w:numPr>
        <w:spacing w:line="480" w:lineRule="auto"/>
        <w:rPr>
          <w:b/>
        </w:rPr>
      </w:pPr>
      <w:r w:rsidRPr="00E62C9E">
        <w:rPr>
          <w:b/>
        </w:rPr>
        <w:t>Size</w:t>
      </w:r>
      <w:r w:rsidR="00CF7691" w:rsidRPr="00E62C9E">
        <w:rPr>
          <w:b/>
        </w:rPr>
        <w:t xml:space="preserve"> Effect:</w:t>
      </w:r>
    </w:p>
    <w:p w:rsidR="00F761B8" w:rsidRPr="00C71655" w:rsidRDefault="0087272B" w:rsidP="004960FD">
      <w:pPr>
        <w:pStyle w:val="ListParagraph"/>
        <w:spacing w:line="480" w:lineRule="auto"/>
        <w:rPr>
          <w:iCs/>
          <w:sz w:val="22"/>
        </w:rPr>
      </w:pPr>
      <m:oMathPara>
        <m:oMath>
          <m:sSub>
            <m:sSubPr>
              <m:ctrlPr>
                <w:rPr>
                  <w:rFonts w:ascii="Cambria Math" w:hAnsi="Cambria Math"/>
                  <w:i/>
                  <w:iCs/>
                  <w:sz w:val="22"/>
                </w:rPr>
              </m:ctrlPr>
            </m:sSubPr>
            <m:e>
              <m:r>
                <w:rPr>
                  <w:rFonts w:ascii="Cambria Math" w:hAnsi="Cambria Math"/>
                  <w:sz w:val="22"/>
                </w:rPr>
                <m:t>r</m:t>
              </m:r>
            </m:e>
            <m:sub>
              <m:r>
                <w:rPr>
                  <w:rFonts w:ascii="Cambria Math" w:hAnsi="Cambria Math"/>
                  <w:sz w:val="22"/>
                </w:rPr>
                <m:t>VIX,t</m:t>
              </m:r>
            </m:sub>
          </m:sSub>
          <m:r>
            <w:rPr>
              <w:rFonts w:ascii="Cambria Math" w:hAnsi="Cambria Math"/>
              <w:sz w:val="22"/>
            </w:rPr>
            <m:t>=</m:t>
          </m:r>
          <m:sSubSup>
            <m:sSubSupPr>
              <m:ctrlPr>
                <w:rPr>
                  <w:rFonts w:ascii="Cambria Math" w:hAnsi="Cambria Math"/>
                  <w:i/>
                  <w:iCs/>
                  <w:sz w:val="22"/>
                </w:rPr>
              </m:ctrlPr>
            </m:sSubSupPr>
            <m:e>
              <m:r>
                <w:rPr>
                  <w:rFonts w:ascii="Cambria Math" w:hAnsi="Cambria Math"/>
                  <w:sz w:val="22"/>
                </w:rPr>
                <m:t>β</m:t>
              </m:r>
            </m:e>
            <m:sub>
              <m:r>
                <w:rPr>
                  <w:rFonts w:ascii="Cambria Math" w:hAnsi="Cambria Math"/>
                  <w:sz w:val="22"/>
                </w:rPr>
                <m:t>0</m:t>
              </m:r>
            </m:sub>
            <m:sup>
              <m:r>
                <w:rPr>
                  <w:rFonts w:ascii="Cambria Math" w:hAnsi="Cambria Math"/>
                  <w:sz w:val="22"/>
                </w:rPr>
                <m:t>-</m:t>
              </m:r>
            </m:sup>
          </m:sSubSup>
          <m:sSubSup>
            <m:sSubSupPr>
              <m:ctrlPr>
                <w:rPr>
                  <w:rFonts w:ascii="Cambria Math" w:hAnsi="Cambria Math"/>
                  <w:i/>
                  <w:iCs/>
                  <w:sz w:val="22"/>
                </w:rPr>
              </m:ctrlPr>
            </m:sSubSupPr>
            <m:e>
              <m:r>
                <w:rPr>
                  <w:rFonts w:ascii="Cambria Math" w:hAnsi="Cambria Math"/>
                  <w:sz w:val="22"/>
                </w:rPr>
                <m:t>D</m:t>
              </m:r>
            </m:e>
            <m:sub>
              <m:r>
                <w:rPr>
                  <w:rFonts w:ascii="Cambria Math" w:hAnsi="Cambria Math"/>
                  <w:sz w:val="22"/>
                </w:rPr>
                <m:t>t</m:t>
              </m:r>
            </m:sub>
            <m:sup>
              <m:r>
                <w:rPr>
                  <w:rFonts w:ascii="Cambria Math" w:hAnsi="Cambria Math"/>
                  <w:sz w:val="22"/>
                </w:rPr>
                <m:t>-</m:t>
              </m:r>
            </m:sup>
          </m:sSubSup>
          <m:sSubSup>
            <m:sSubSupPr>
              <m:ctrlPr>
                <w:rPr>
                  <w:rFonts w:ascii="Cambria Math" w:hAnsi="Cambria Math"/>
                  <w:i/>
                  <w:iCs/>
                  <w:sz w:val="22"/>
                </w:rPr>
              </m:ctrlPr>
            </m:sSubSupPr>
            <m:e>
              <m:r>
                <w:rPr>
                  <w:rFonts w:ascii="Cambria Math" w:hAnsi="Cambria Math"/>
                  <w:sz w:val="22"/>
                </w:rPr>
                <m:t>+β</m:t>
              </m:r>
            </m:e>
            <m:sub>
              <m:r>
                <w:rPr>
                  <w:rFonts w:ascii="Cambria Math" w:hAnsi="Cambria Math"/>
                  <w:sz w:val="22"/>
                </w:rPr>
                <m:t>0</m:t>
              </m:r>
            </m:sub>
            <m:sup>
              <m:r>
                <w:rPr>
                  <w:rFonts w:ascii="Cambria Math" w:hAnsi="Cambria Math"/>
                  <w:sz w:val="22"/>
                </w:rPr>
                <m:t>+</m:t>
              </m:r>
            </m:sup>
          </m:sSubSup>
          <m:sSubSup>
            <m:sSubSupPr>
              <m:ctrlPr>
                <w:rPr>
                  <w:rFonts w:ascii="Cambria Math" w:hAnsi="Cambria Math"/>
                  <w:i/>
                  <w:iCs/>
                  <w:sz w:val="22"/>
                </w:rPr>
              </m:ctrlPr>
            </m:sSubSupPr>
            <m:e>
              <m:r>
                <w:rPr>
                  <w:rFonts w:ascii="Cambria Math" w:hAnsi="Cambria Math"/>
                  <w:sz w:val="22"/>
                </w:rPr>
                <m:t>D</m:t>
              </m:r>
            </m:e>
            <m:sub>
              <m:r>
                <w:rPr>
                  <w:rFonts w:ascii="Cambria Math" w:hAnsi="Cambria Math"/>
                  <w:sz w:val="22"/>
                </w:rPr>
                <m:t>t</m:t>
              </m:r>
            </m:sub>
            <m:sup>
              <m:r>
                <w:rPr>
                  <w:rFonts w:ascii="Cambria Math" w:hAnsi="Cambria Math"/>
                  <w:sz w:val="22"/>
                </w:rPr>
                <m:t>+</m:t>
              </m:r>
            </m:sup>
          </m:sSubSup>
          <m:r>
            <w:rPr>
              <w:rFonts w:ascii="Cambria Math" w:hAnsi="Cambria Math"/>
              <w:sz w:val="22"/>
            </w:rPr>
            <m:t>+</m:t>
          </m:r>
          <m:sSubSup>
            <m:sSubSupPr>
              <m:ctrlPr>
                <w:rPr>
                  <w:rFonts w:ascii="Cambria Math" w:hAnsi="Cambria Math"/>
                  <w:i/>
                  <w:iCs/>
                  <w:sz w:val="22"/>
                </w:rPr>
              </m:ctrlPr>
            </m:sSubSupPr>
            <m:e>
              <m:r>
                <w:rPr>
                  <w:rFonts w:ascii="Cambria Math" w:hAnsi="Cambria Math"/>
                  <w:sz w:val="22"/>
                </w:rPr>
                <m:t>β</m:t>
              </m:r>
            </m:e>
            <m:sub>
              <m:r>
                <w:rPr>
                  <w:rFonts w:ascii="Cambria Math" w:hAnsi="Cambria Math"/>
                  <w:sz w:val="22"/>
                </w:rPr>
                <m:t>1</m:t>
              </m:r>
            </m:sub>
            <m:sup>
              <m:r>
                <w:rPr>
                  <w:rFonts w:ascii="Cambria Math" w:hAnsi="Cambria Math"/>
                  <w:sz w:val="22"/>
                </w:rPr>
                <m:t>-</m:t>
              </m:r>
            </m:sup>
          </m:sSubSup>
          <m:sSub>
            <m:sSubPr>
              <m:ctrlPr>
                <w:rPr>
                  <w:rFonts w:ascii="Cambria Math" w:hAnsi="Cambria Math"/>
                  <w:i/>
                  <w:iCs/>
                  <w:sz w:val="22"/>
                </w:rPr>
              </m:ctrlPr>
            </m:sSubPr>
            <m:e>
              <m:r>
                <w:rPr>
                  <w:rFonts w:ascii="Cambria Math" w:hAnsi="Cambria Math"/>
                  <w:sz w:val="22"/>
                </w:rPr>
                <m:t>r</m:t>
              </m:r>
            </m:e>
            <m:sub>
              <m:r>
                <w:rPr>
                  <w:rFonts w:ascii="Cambria Math" w:hAnsi="Cambria Math"/>
                  <w:sz w:val="22"/>
                </w:rPr>
                <m:t>ETF,t</m:t>
              </m:r>
            </m:sub>
          </m:sSub>
          <m:sSubSup>
            <m:sSubSupPr>
              <m:ctrlPr>
                <w:rPr>
                  <w:rFonts w:ascii="Cambria Math" w:hAnsi="Cambria Math"/>
                  <w:i/>
                  <w:iCs/>
                  <w:sz w:val="22"/>
                </w:rPr>
              </m:ctrlPr>
            </m:sSubSupPr>
            <m:e>
              <m:r>
                <w:rPr>
                  <w:rFonts w:ascii="Cambria Math" w:hAnsi="Cambria Math"/>
                  <w:sz w:val="22"/>
                </w:rPr>
                <m:t>D</m:t>
              </m:r>
            </m:e>
            <m:sub>
              <m:r>
                <w:rPr>
                  <w:rFonts w:ascii="Cambria Math" w:hAnsi="Cambria Math"/>
                  <w:sz w:val="22"/>
                </w:rPr>
                <m:t>t</m:t>
              </m:r>
            </m:sub>
            <m:sup>
              <m:r>
                <w:rPr>
                  <w:rFonts w:ascii="Cambria Math" w:hAnsi="Cambria Math"/>
                  <w:sz w:val="22"/>
                </w:rPr>
                <m:t>-</m:t>
              </m:r>
            </m:sup>
          </m:sSubSup>
          <m:r>
            <w:rPr>
              <w:rFonts w:ascii="Cambria Math" w:hAnsi="Cambria Math"/>
              <w:sz w:val="22"/>
            </w:rPr>
            <m:t>+</m:t>
          </m:r>
          <m:sSubSup>
            <m:sSubSupPr>
              <m:ctrlPr>
                <w:rPr>
                  <w:rFonts w:ascii="Cambria Math" w:hAnsi="Cambria Math"/>
                  <w:i/>
                  <w:iCs/>
                  <w:sz w:val="22"/>
                </w:rPr>
              </m:ctrlPr>
            </m:sSubSupPr>
            <m:e>
              <m:r>
                <w:rPr>
                  <w:rFonts w:ascii="Cambria Math" w:hAnsi="Cambria Math"/>
                  <w:sz w:val="22"/>
                </w:rPr>
                <m:t>β</m:t>
              </m:r>
            </m:e>
            <m:sub>
              <m:r>
                <w:rPr>
                  <w:rFonts w:ascii="Cambria Math" w:hAnsi="Cambria Math"/>
                  <w:sz w:val="22"/>
                </w:rPr>
                <m:t>1</m:t>
              </m:r>
            </m:sub>
            <m:sup>
              <m:r>
                <w:rPr>
                  <w:rFonts w:ascii="Cambria Math" w:hAnsi="Cambria Math"/>
                  <w:sz w:val="22"/>
                </w:rPr>
                <m:t>+</m:t>
              </m:r>
            </m:sup>
          </m:sSubSup>
          <m:sSub>
            <m:sSubPr>
              <m:ctrlPr>
                <w:rPr>
                  <w:rFonts w:ascii="Cambria Math" w:hAnsi="Cambria Math"/>
                  <w:i/>
                  <w:iCs/>
                  <w:sz w:val="22"/>
                </w:rPr>
              </m:ctrlPr>
            </m:sSubPr>
            <m:e>
              <m:r>
                <w:rPr>
                  <w:rFonts w:ascii="Cambria Math" w:hAnsi="Cambria Math"/>
                  <w:sz w:val="22"/>
                </w:rPr>
                <m:t>r</m:t>
              </m:r>
            </m:e>
            <m:sub>
              <m:r>
                <w:rPr>
                  <w:rFonts w:ascii="Cambria Math" w:hAnsi="Cambria Math"/>
                  <w:sz w:val="22"/>
                </w:rPr>
                <m:t>ETF,t</m:t>
              </m:r>
            </m:sub>
          </m:sSub>
          <m:sSubSup>
            <m:sSubSupPr>
              <m:ctrlPr>
                <w:rPr>
                  <w:rFonts w:ascii="Cambria Math" w:hAnsi="Cambria Math"/>
                  <w:i/>
                  <w:iCs/>
                  <w:sz w:val="22"/>
                </w:rPr>
              </m:ctrlPr>
            </m:sSubSupPr>
            <m:e>
              <m:r>
                <w:rPr>
                  <w:rFonts w:ascii="Cambria Math" w:hAnsi="Cambria Math"/>
                  <w:sz w:val="22"/>
                </w:rPr>
                <m:t>D</m:t>
              </m:r>
            </m:e>
            <m:sub>
              <m:r>
                <w:rPr>
                  <w:rFonts w:ascii="Cambria Math" w:hAnsi="Cambria Math"/>
                  <w:sz w:val="22"/>
                </w:rPr>
                <m:t>t</m:t>
              </m:r>
            </m:sub>
            <m:sup>
              <m:r>
                <w:rPr>
                  <w:rFonts w:ascii="Cambria Math" w:hAnsi="Cambria Math"/>
                  <w:sz w:val="22"/>
                </w:rPr>
                <m:t>+</m:t>
              </m:r>
            </m:sup>
          </m:sSubSup>
          <m:r>
            <w:rPr>
              <w:rFonts w:ascii="Cambria Math" w:hAnsi="Cambria Math"/>
              <w:sz w:val="22"/>
            </w:rPr>
            <m:t>+</m:t>
          </m:r>
          <m:sSubSup>
            <m:sSubSupPr>
              <m:ctrlPr>
                <w:rPr>
                  <w:rFonts w:ascii="Cambria Math" w:hAnsi="Cambria Math"/>
                  <w:i/>
                  <w:iCs/>
                  <w:sz w:val="22"/>
                </w:rPr>
              </m:ctrlPr>
            </m:sSubSupPr>
            <m:e>
              <m:r>
                <w:rPr>
                  <w:rFonts w:ascii="Cambria Math" w:hAnsi="Cambria Math"/>
                  <w:sz w:val="22"/>
                </w:rPr>
                <m:t>β</m:t>
              </m:r>
            </m:e>
            <m:sub>
              <m:r>
                <w:rPr>
                  <w:rFonts w:ascii="Cambria Math" w:hAnsi="Cambria Math"/>
                  <w:sz w:val="22"/>
                </w:rPr>
                <m:t>2</m:t>
              </m:r>
            </m:sub>
            <m:sup>
              <m:r>
                <w:rPr>
                  <w:rFonts w:ascii="Cambria Math" w:hAnsi="Cambria Math"/>
                  <w:sz w:val="22"/>
                </w:rPr>
                <m:t>-</m:t>
              </m:r>
            </m:sup>
          </m:sSubSup>
          <m:sSubSup>
            <m:sSubSupPr>
              <m:ctrlPr>
                <w:rPr>
                  <w:rFonts w:ascii="Cambria Math" w:hAnsi="Cambria Math"/>
                  <w:i/>
                  <w:iCs/>
                  <w:sz w:val="22"/>
                </w:rPr>
              </m:ctrlPr>
            </m:sSubSupPr>
            <m:e>
              <m:r>
                <w:rPr>
                  <w:rFonts w:ascii="Cambria Math" w:hAnsi="Cambria Math"/>
                  <w:sz w:val="22"/>
                </w:rPr>
                <m:t>r</m:t>
              </m:r>
            </m:e>
            <m:sub>
              <m:r>
                <w:rPr>
                  <w:rFonts w:ascii="Cambria Math" w:hAnsi="Cambria Math"/>
                  <w:sz w:val="22"/>
                </w:rPr>
                <m:t>ETF,t</m:t>
              </m:r>
            </m:sub>
            <m:sup>
              <m:r>
                <w:rPr>
                  <w:rFonts w:ascii="Cambria Math" w:hAnsi="Cambria Math"/>
                  <w:sz w:val="22"/>
                </w:rPr>
                <m:t>2</m:t>
              </m:r>
            </m:sup>
          </m:sSubSup>
          <m:sSubSup>
            <m:sSubSupPr>
              <m:ctrlPr>
                <w:rPr>
                  <w:rFonts w:ascii="Cambria Math" w:hAnsi="Cambria Math"/>
                  <w:i/>
                  <w:iCs/>
                  <w:sz w:val="22"/>
                </w:rPr>
              </m:ctrlPr>
            </m:sSubSupPr>
            <m:e>
              <m:r>
                <w:rPr>
                  <w:rFonts w:ascii="Cambria Math" w:hAnsi="Cambria Math"/>
                  <w:sz w:val="22"/>
                </w:rPr>
                <m:t>D</m:t>
              </m:r>
            </m:e>
            <m:sub>
              <m:r>
                <w:rPr>
                  <w:rFonts w:ascii="Cambria Math" w:hAnsi="Cambria Math"/>
                  <w:sz w:val="22"/>
                </w:rPr>
                <m:t>t</m:t>
              </m:r>
            </m:sub>
            <m:sup>
              <m:r>
                <w:rPr>
                  <w:rFonts w:ascii="Cambria Math" w:hAnsi="Cambria Math"/>
                  <w:sz w:val="22"/>
                </w:rPr>
                <m:t>-</m:t>
              </m:r>
            </m:sup>
          </m:sSubSup>
          <m:r>
            <w:rPr>
              <w:rFonts w:ascii="Cambria Math" w:hAnsi="Cambria Math"/>
              <w:sz w:val="22"/>
            </w:rPr>
            <m:t>+</m:t>
          </m:r>
          <m:sSubSup>
            <m:sSubSupPr>
              <m:ctrlPr>
                <w:rPr>
                  <w:rFonts w:ascii="Cambria Math" w:hAnsi="Cambria Math"/>
                  <w:i/>
                  <w:iCs/>
                  <w:sz w:val="22"/>
                </w:rPr>
              </m:ctrlPr>
            </m:sSubSupPr>
            <m:e>
              <m:r>
                <w:rPr>
                  <w:rFonts w:ascii="Cambria Math" w:hAnsi="Cambria Math"/>
                  <w:sz w:val="22"/>
                </w:rPr>
                <m:t>β</m:t>
              </m:r>
            </m:e>
            <m:sub>
              <m:r>
                <w:rPr>
                  <w:rFonts w:ascii="Cambria Math" w:hAnsi="Cambria Math"/>
                  <w:sz w:val="22"/>
                </w:rPr>
                <m:t>2</m:t>
              </m:r>
            </m:sub>
            <m:sup>
              <m:r>
                <w:rPr>
                  <w:rFonts w:ascii="Cambria Math" w:hAnsi="Cambria Math"/>
                  <w:sz w:val="22"/>
                </w:rPr>
                <m:t>+</m:t>
              </m:r>
            </m:sup>
          </m:sSubSup>
          <m:sSubSup>
            <m:sSubSupPr>
              <m:ctrlPr>
                <w:rPr>
                  <w:rFonts w:ascii="Cambria Math" w:hAnsi="Cambria Math"/>
                  <w:i/>
                  <w:iCs/>
                  <w:sz w:val="22"/>
                </w:rPr>
              </m:ctrlPr>
            </m:sSubSupPr>
            <m:e>
              <m:r>
                <w:rPr>
                  <w:rFonts w:ascii="Cambria Math" w:hAnsi="Cambria Math"/>
                  <w:sz w:val="22"/>
                </w:rPr>
                <m:t>r</m:t>
              </m:r>
            </m:e>
            <m:sub>
              <m:r>
                <w:rPr>
                  <w:rFonts w:ascii="Cambria Math" w:hAnsi="Cambria Math"/>
                  <w:sz w:val="22"/>
                </w:rPr>
                <m:t>ETF,t</m:t>
              </m:r>
            </m:sub>
            <m:sup>
              <m:r>
                <w:rPr>
                  <w:rFonts w:ascii="Cambria Math" w:hAnsi="Cambria Math"/>
                  <w:sz w:val="22"/>
                </w:rPr>
                <m:t>2</m:t>
              </m:r>
            </m:sup>
          </m:sSubSup>
          <m:sSubSup>
            <m:sSubSupPr>
              <m:ctrlPr>
                <w:rPr>
                  <w:rFonts w:ascii="Cambria Math" w:hAnsi="Cambria Math"/>
                  <w:i/>
                  <w:iCs/>
                  <w:sz w:val="22"/>
                </w:rPr>
              </m:ctrlPr>
            </m:sSubSupPr>
            <m:e>
              <m:r>
                <w:rPr>
                  <w:rFonts w:ascii="Cambria Math" w:hAnsi="Cambria Math"/>
                  <w:sz w:val="22"/>
                </w:rPr>
                <m:t>D</m:t>
              </m:r>
            </m:e>
            <m:sub>
              <m:r>
                <w:rPr>
                  <w:rFonts w:ascii="Cambria Math" w:hAnsi="Cambria Math"/>
                  <w:sz w:val="22"/>
                </w:rPr>
                <m:t>t</m:t>
              </m:r>
            </m:sub>
            <m:sup>
              <m:r>
                <w:rPr>
                  <w:rFonts w:ascii="Cambria Math" w:hAnsi="Cambria Math"/>
                  <w:sz w:val="22"/>
                </w:rPr>
                <m:t>+</m:t>
              </m:r>
            </m:sup>
          </m:sSubSup>
          <m:r>
            <w:rPr>
              <w:rFonts w:ascii="Cambria Math" w:hAnsi="Cambria Math"/>
              <w:sz w:val="22"/>
            </w:rPr>
            <m:t>+</m:t>
          </m:r>
          <m:sSub>
            <m:sSubPr>
              <m:ctrlPr>
                <w:rPr>
                  <w:rFonts w:ascii="Cambria Math" w:hAnsi="Cambria Math"/>
                  <w:i/>
                  <w:iCs/>
                  <w:sz w:val="22"/>
                </w:rPr>
              </m:ctrlPr>
            </m:sSubPr>
            <m:e>
              <m:r>
                <w:rPr>
                  <w:rFonts w:ascii="Cambria Math" w:hAnsi="Cambria Math"/>
                  <w:sz w:val="22"/>
                </w:rPr>
                <m:t>ϵ</m:t>
              </m:r>
            </m:e>
            <m:sub>
              <m:r>
                <w:rPr>
                  <w:rFonts w:ascii="Cambria Math" w:hAnsi="Cambria Math"/>
                  <w:sz w:val="22"/>
                </w:rPr>
                <m:t>t</m:t>
              </m:r>
            </m:sub>
          </m:sSub>
        </m:oMath>
      </m:oMathPara>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694"/>
        <w:gridCol w:w="1842"/>
        <w:gridCol w:w="1701"/>
        <w:gridCol w:w="1560"/>
        <w:gridCol w:w="1559"/>
      </w:tblGrid>
      <w:tr w:rsidR="00F761B8" w:rsidRPr="00C71655" w:rsidTr="00D1111E">
        <w:trPr>
          <w:trHeight w:val="500"/>
        </w:trPr>
        <w:tc>
          <w:tcPr>
            <w:tcW w:w="2694" w:type="dxa"/>
            <w:shd w:val="clear" w:color="auto" w:fill="AEAAAA" w:themeFill="background2" w:themeFillShade="BF"/>
            <w:tcMar>
              <w:top w:w="15" w:type="dxa"/>
              <w:left w:w="15" w:type="dxa"/>
              <w:bottom w:w="0" w:type="dxa"/>
              <w:right w:w="15" w:type="dxa"/>
            </w:tcMar>
            <w:vAlign w:val="bottom"/>
            <w:hideMark/>
          </w:tcPr>
          <w:p w:rsidR="00F761B8" w:rsidRPr="00C71655" w:rsidRDefault="00F761B8" w:rsidP="00F761B8">
            <w:pPr>
              <w:spacing w:line="360" w:lineRule="auto"/>
              <w:rPr>
                <w:sz w:val="21"/>
              </w:rPr>
            </w:pPr>
          </w:p>
        </w:tc>
        <w:tc>
          <w:tcPr>
            <w:tcW w:w="1842" w:type="dxa"/>
            <w:shd w:val="clear" w:color="auto" w:fill="AEAAAA" w:themeFill="background2" w:themeFillShade="BF"/>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Coefficients</w:t>
            </w:r>
          </w:p>
        </w:tc>
        <w:tc>
          <w:tcPr>
            <w:tcW w:w="1701" w:type="dxa"/>
            <w:shd w:val="clear" w:color="auto" w:fill="AEAAAA" w:themeFill="background2" w:themeFillShade="BF"/>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Standard Error</w:t>
            </w:r>
          </w:p>
        </w:tc>
        <w:tc>
          <w:tcPr>
            <w:tcW w:w="1560" w:type="dxa"/>
            <w:shd w:val="clear" w:color="auto" w:fill="AEAAAA" w:themeFill="background2" w:themeFillShade="BF"/>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t Stat</w:t>
            </w:r>
          </w:p>
        </w:tc>
        <w:tc>
          <w:tcPr>
            <w:tcW w:w="1559" w:type="dxa"/>
            <w:shd w:val="clear" w:color="auto" w:fill="AEAAAA" w:themeFill="background2" w:themeFillShade="BF"/>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P-value</w:t>
            </w:r>
          </w:p>
        </w:tc>
      </w:tr>
      <w:tr w:rsidR="00F761B8" w:rsidRPr="00C71655" w:rsidTr="00F761B8">
        <w:trPr>
          <w:trHeight w:val="500"/>
        </w:trPr>
        <w:tc>
          <w:tcPr>
            <w:tcW w:w="2694"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Intercept</w:t>
            </w:r>
          </w:p>
        </w:tc>
        <w:tc>
          <w:tcPr>
            <w:tcW w:w="1842"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2.17488E-05</w:t>
            </w:r>
          </w:p>
        </w:tc>
        <w:tc>
          <w:tcPr>
            <w:tcW w:w="1701"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0.00014472</w:t>
            </w:r>
          </w:p>
        </w:tc>
        <w:tc>
          <w:tcPr>
            <w:tcW w:w="1560"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0.15028128</w:t>
            </w:r>
          </w:p>
        </w:tc>
        <w:tc>
          <w:tcPr>
            <w:tcW w:w="1559"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0.8805431</w:t>
            </w:r>
          </w:p>
        </w:tc>
      </w:tr>
      <w:tr w:rsidR="00F761B8" w:rsidRPr="00C71655" w:rsidTr="00F761B8">
        <w:trPr>
          <w:trHeight w:val="500"/>
        </w:trPr>
        <w:tc>
          <w:tcPr>
            <w:tcW w:w="2694"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Positive Return</w:t>
            </w:r>
            <m:oMath>
              <m:r>
                <m:rPr>
                  <m:sty m:val="p"/>
                </m:rPr>
                <w:rPr>
                  <w:rFonts w:ascii="Cambria Math" w:hAnsi="Cambria Math"/>
                  <w:sz w:val="21"/>
                </w:rPr>
                <m:t xml:space="preserve"> </m:t>
              </m:r>
              <m:sSubSup>
                <m:sSubSupPr>
                  <m:ctrlPr>
                    <w:rPr>
                      <w:rFonts w:ascii="Cambria Math" w:hAnsi="Cambria Math"/>
                      <w:i/>
                      <w:iCs/>
                      <w:sz w:val="21"/>
                    </w:rPr>
                  </m:ctrlPr>
                </m:sSubSupPr>
                <m:e>
                  <m:r>
                    <w:rPr>
                      <w:rFonts w:ascii="Cambria Math" w:hAnsi="Cambria Math"/>
                      <w:sz w:val="21"/>
                    </w:rPr>
                    <m:t>β</m:t>
                  </m:r>
                </m:e>
                <m:sub>
                  <m:r>
                    <w:rPr>
                      <w:rFonts w:ascii="Cambria Math" w:hAnsi="Cambria Math"/>
                      <w:sz w:val="21"/>
                    </w:rPr>
                    <m:t>1</m:t>
                  </m:r>
                </m:sub>
                <m:sup>
                  <m:r>
                    <w:rPr>
                      <w:rFonts w:ascii="Cambria Math" w:hAnsi="Cambria Math"/>
                      <w:sz w:val="21"/>
                    </w:rPr>
                    <m:t>+</m:t>
                  </m:r>
                </m:sup>
              </m:sSubSup>
            </m:oMath>
          </w:p>
        </w:tc>
        <w:tc>
          <w:tcPr>
            <w:tcW w:w="1842"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-0.343892155</w:t>
            </w:r>
          </w:p>
        </w:tc>
        <w:tc>
          <w:tcPr>
            <w:tcW w:w="1701"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0.062632333</w:t>
            </w:r>
          </w:p>
        </w:tc>
        <w:tc>
          <w:tcPr>
            <w:tcW w:w="1560"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-5.490649</w:t>
            </w:r>
          </w:p>
        </w:tc>
        <w:tc>
          <w:tcPr>
            <w:tcW w:w="1559"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4.0173E-08</w:t>
            </w:r>
          </w:p>
        </w:tc>
      </w:tr>
      <w:tr w:rsidR="00F761B8" w:rsidRPr="00C71655" w:rsidTr="00F761B8">
        <w:trPr>
          <w:trHeight w:val="500"/>
        </w:trPr>
        <w:tc>
          <w:tcPr>
            <w:tcW w:w="2694"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Negative Return</w:t>
            </w:r>
            <w:r w:rsidR="00734478" w:rsidRPr="00C71655">
              <w:rPr>
                <w:sz w:val="21"/>
              </w:rPr>
              <w:t xml:space="preserve"> </w:t>
            </w:r>
            <m:oMath>
              <m:sSubSup>
                <m:sSubSupPr>
                  <m:ctrlPr>
                    <w:rPr>
                      <w:rFonts w:ascii="Cambria Math" w:hAnsi="Cambria Math"/>
                      <w:i/>
                      <w:iCs/>
                      <w:sz w:val="21"/>
                    </w:rPr>
                  </m:ctrlPr>
                </m:sSubSupPr>
                <m:e>
                  <m:r>
                    <w:rPr>
                      <w:rFonts w:ascii="Cambria Math" w:hAnsi="Cambria Math"/>
                      <w:sz w:val="21"/>
                    </w:rPr>
                    <m:t>β</m:t>
                  </m:r>
                </m:e>
                <m:sub>
                  <m:r>
                    <w:rPr>
                      <w:rFonts w:ascii="Cambria Math" w:hAnsi="Cambria Math"/>
                      <w:sz w:val="21"/>
                    </w:rPr>
                    <m:t>1</m:t>
                  </m:r>
                </m:sub>
                <m:sup>
                  <m:r>
                    <w:rPr>
                      <w:rFonts w:ascii="Cambria Math" w:hAnsi="Cambria Math"/>
                      <w:sz w:val="21"/>
                    </w:rPr>
                    <m:t>-</m:t>
                  </m:r>
                </m:sup>
              </m:sSubSup>
            </m:oMath>
          </w:p>
        </w:tc>
        <w:tc>
          <w:tcPr>
            <w:tcW w:w="1842"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-0.802602129</w:t>
            </w:r>
          </w:p>
        </w:tc>
        <w:tc>
          <w:tcPr>
            <w:tcW w:w="1701"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0.068240127</w:t>
            </w:r>
          </w:p>
        </w:tc>
        <w:tc>
          <w:tcPr>
            <w:tcW w:w="1560"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-11.761439</w:t>
            </w:r>
          </w:p>
        </w:tc>
        <w:tc>
          <w:tcPr>
            <w:tcW w:w="1559"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6.5718E-32</w:t>
            </w:r>
          </w:p>
        </w:tc>
      </w:tr>
      <w:tr w:rsidR="00F761B8" w:rsidRPr="00C71655" w:rsidTr="00F761B8">
        <w:trPr>
          <w:trHeight w:val="500"/>
        </w:trPr>
        <w:tc>
          <w:tcPr>
            <w:tcW w:w="2694"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Positive Dummy</w:t>
            </w:r>
            <w:r w:rsidR="00734478" w:rsidRPr="00C71655">
              <w:rPr>
                <w:sz w:val="21"/>
              </w:rPr>
              <w:t xml:space="preserve"> </w:t>
            </w:r>
            <m:oMath>
              <m:sSubSup>
                <m:sSubSupPr>
                  <m:ctrlPr>
                    <w:rPr>
                      <w:rFonts w:ascii="Cambria Math" w:hAnsi="Cambria Math"/>
                      <w:i/>
                      <w:iCs/>
                      <w:sz w:val="21"/>
                    </w:rPr>
                  </m:ctrlPr>
                </m:sSubSupPr>
                <m:e>
                  <m:r>
                    <w:rPr>
                      <w:rFonts w:ascii="Cambria Math" w:hAnsi="Cambria Math"/>
                      <w:sz w:val="21"/>
                    </w:rPr>
                    <m:t>β</m:t>
                  </m:r>
                </m:e>
                <m:sub>
                  <m:r>
                    <w:rPr>
                      <w:rFonts w:ascii="Cambria Math" w:hAnsi="Cambria Math"/>
                      <w:sz w:val="21"/>
                    </w:rPr>
                    <m:t>0</m:t>
                  </m:r>
                </m:sub>
                <m:sup>
                  <m:r>
                    <w:rPr>
                      <w:rFonts w:ascii="Cambria Math" w:hAnsi="Cambria Math"/>
                      <w:sz w:val="21"/>
                    </w:rPr>
                    <m:t>+</m:t>
                  </m:r>
                </m:sup>
              </m:sSubSup>
            </m:oMath>
          </w:p>
        </w:tc>
        <w:tc>
          <w:tcPr>
            <w:tcW w:w="1842"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-1.12241E-05</w:t>
            </w:r>
          </w:p>
        </w:tc>
        <w:tc>
          <w:tcPr>
            <w:tcW w:w="1701"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0.000145697</w:t>
            </w:r>
          </w:p>
        </w:tc>
        <w:tc>
          <w:tcPr>
            <w:tcW w:w="1560"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-0.0770373</w:t>
            </w:r>
          </w:p>
        </w:tc>
        <w:tc>
          <w:tcPr>
            <w:tcW w:w="1559"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0.9385941</w:t>
            </w:r>
          </w:p>
        </w:tc>
      </w:tr>
      <w:tr w:rsidR="00F761B8" w:rsidRPr="00C71655" w:rsidTr="00F761B8">
        <w:trPr>
          <w:trHeight w:val="500"/>
        </w:trPr>
        <w:tc>
          <w:tcPr>
            <w:tcW w:w="2694"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Negative Dummy</w:t>
            </w:r>
            <w:r w:rsidR="00734478" w:rsidRPr="00C71655">
              <w:rPr>
                <w:sz w:val="21"/>
              </w:rPr>
              <w:t xml:space="preserve"> </w:t>
            </w:r>
            <m:oMath>
              <m:sSubSup>
                <m:sSubSupPr>
                  <m:ctrlPr>
                    <w:rPr>
                      <w:rFonts w:ascii="Cambria Math" w:hAnsi="Cambria Math"/>
                      <w:i/>
                      <w:iCs/>
                      <w:sz w:val="21"/>
                    </w:rPr>
                  </m:ctrlPr>
                </m:sSubSupPr>
                <m:e>
                  <m:r>
                    <w:rPr>
                      <w:rFonts w:ascii="Cambria Math" w:hAnsi="Cambria Math"/>
                      <w:sz w:val="21"/>
                    </w:rPr>
                    <m:t>β</m:t>
                  </m:r>
                </m:e>
                <m:sub>
                  <m:r>
                    <w:rPr>
                      <w:rFonts w:ascii="Cambria Math" w:hAnsi="Cambria Math"/>
                      <w:sz w:val="21"/>
                    </w:rPr>
                    <m:t>0</m:t>
                  </m:r>
                </m:sub>
                <m:sup>
                  <m:r>
                    <w:rPr>
                      <w:rFonts w:ascii="Cambria Math" w:hAnsi="Cambria Math"/>
                      <w:sz w:val="21"/>
                    </w:rPr>
                    <m:t>-</m:t>
                  </m:r>
                </m:sup>
              </m:sSubSup>
            </m:oMath>
          </w:p>
        </w:tc>
        <w:tc>
          <w:tcPr>
            <w:tcW w:w="1842"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-0.000155443</w:t>
            </w:r>
          </w:p>
        </w:tc>
        <w:tc>
          <w:tcPr>
            <w:tcW w:w="1701"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0.000145698</w:t>
            </w:r>
          </w:p>
        </w:tc>
        <w:tc>
          <w:tcPr>
            <w:tcW w:w="1560"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-1.0668837</w:t>
            </w:r>
          </w:p>
        </w:tc>
        <w:tc>
          <w:tcPr>
            <w:tcW w:w="1559"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0.28602773</w:t>
            </w:r>
          </w:p>
        </w:tc>
      </w:tr>
      <w:tr w:rsidR="00F761B8" w:rsidRPr="00C71655" w:rsidTr="00F761B8">
        <w:trPr>
          <w:trHeight w:val="500"/>
        </w:trPr>
        <w:tc>
          <w:tcPr>
            <w:tcW w:w="2694"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Positive Squared Return</w:t>
            </w:r>
            <w:r w:rsidR="00734478" w:rsidRPr="00C71655">
              <w:rPr>
                <w:sz w:val="21"/>
              </w:rPr>
              <w:t xml:space="preserve"> </w:t>
            </w:r>
            <m:oMath>
              <m:sSubSup>
                <m:sSubSupPr>
                  <m:ctrlPr>
                    <w:rPr>
                      <w:rFonts w:ascii="Cambria Math" w:hAnsi="Cambria Math"/>
                      <w:i/>
                      <w:iCs/>
                      <w:sz w:val="21"/>
                    </w:rPr>
                  </m:ctrlPr>
                </m:sSubSupPr>
                <m:e>
                  <m:r>
                    <w:rPr>
                      <w:rFonts w:ascii="Cambria Math" w:hAnsi="Cambria Math"/>
                      <w:sz w:val="21"/>
                    </w:rPr>
                    <m:t>β</m:t>
                  </m:r>
                </m:e>
                <m:sub>
                  <m:r>
                    <w:rPr>
                      <w:rFonts w:ascii="Cambria Math" w:hAnsi="Cambria Math"/>
                      <w:sz w:val="21"/>
                    </w:rPr>
                    <m:t>2</m:t>
                  </m:r>
                </m:sub>
                <m:sup>
                  <m:r>
                    <w:rPr>
                      <w:rFonts w:ascii="Cambria Math" w:hAnsi="Cambria Math"/>
                      <w:sz w:val="21"/>
                    </w:rPr>
                    <m:t>+</m:t>
                  </m:r>
                </m:sup>
              </m:sSubSup>
            </m:oMath>
          </w:p>
        </w:tc>
        <w:tc>
          <w:tcPr>
            <w:tcW w:w="1842" w:type="dxa"/>
            <w:shd w:val="clear" w:color="auto" w:fill="FFC000"/>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147.683863</w:t>
            </w:r>
          </w:p>
        </w:tc>
        <w:tc>
          <w:tcPr>
            <w:tcW w:w="1701"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12.18071027</w:t>
            </w:r>
          </w:p>
        </w:tc>
        <w:tc>
          <w:tcPr>
            <w:tcW w:w="1560"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12.1244049</w:t>
            </w:r>
          </w:p>
        </w:tc>
        <w:tc>
          <w:tcPr>
            <w:tcW w:w="1559"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8.4254E-34</w:t>
            </w:r>
          </w:p>
        </w:tc>
      </w:tr>
      <w:tr w:rsidR="00F761B8" w:rsidRPr="00C71655" w:rsidTr="00F761B8">
        <w:trPr>
          <w:trHeight w:val="500"/>
        </w:trPr>
        <w:tc>
          <w:tcPr>
            <w:tcW w:w="2694"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Negative Squared Return</w:t>
            </w:r>
            <w:r w:rsidR="00734478" w:rsidRPr="00C71655">
              <w:rPr>
                <w:sz w:val="21"/>
              </w:rPr>
              <w:t xml:space="preserve"> </w:t>
            </w:r>
            <m:oMath>
              <m:sSubSup>
                <m:sSubSupPr>
                  <m:ctrlPr>
                    <w:rPr>
                      <w:rFonts w:ascii="Cambria Math" w:hAnsi="Cambria Math"/>
                      <w:i/>
                      <w:iCs/>
                      <w:sz w:val="21"/>
                    </w:rPr>
                  </m:ctrlPr>
                </m:sSubSupPr>
                <m:e>
                  <m:r>
                    <w:rPr>
                      <w:rFonts w:ascii="Cambria Math" w:hAnsi="Cambria Math"/>
                      <w:sz w:val="21"/>
                    </w:rPr>
                    <m:t>β</m:t>
                  </m:r>
                </m:e>
                <m:sub>
                  <m:r>
                    <w:rPr>
                      <w:rFonts w:ascii="Cambria Math" w:hAnsi="Cambria Math"/>
                      <w:sz w:val="21"/>
                    </w:rPr>
                    <m:t>2</m:t>
                  </m:r>
                </m:sub>
                <m:sup>
                  <m:r>
                    <w:rPr>
                      <w:rFonts w:ascii="Cambria Math" w:hAnsi="Cambria Math"/>
                      <w:sz w:val="21"/>
                    </w:rPr>
                    <m:t>-</m:t>
                  </m:r>
                </m:sup>
              </m:sSubSup>
            </m:oMath>
          </w:p>
        </w:tc>
        <w:tc>
          <w:tcPr>
            <w:tcW w:w="1842" w:type="dxa"/>
            <w:shd w:val="clear" w:color="auto" w:fill="FFC000"/>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220.2692248</w:t>
            </w:r>
          </w:p>
        </w:tc>
        <w:tc>
          <w:tcPr>
            <w:tcW w:w="1701"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9.355205654</w:t>
            </w:r>
          </w:p>
        </w:tc>
        <w:tc>
          <w:tcPr>
            <w:tcW w:w="1560"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23.545097</w:t>
            </w:r>
          </w:p>
        </w:tc>
        <w:tc>
          <w:tcPr>
            <w:tcW w:w="1559" w:type="dxa"/>
            <w:shd w:val="clear" w:color="auto" w:fill="auto"/>
            <w:tcMar>
              <w:top w:w="15" w:type="dxa"/>
              <w:left w:w="15" w:type="dxa"/>
              <w:bottom w:w="0" w:type="dxa"/>
              <w:right w:w="15" w:type="dxa"/>
            </w:tcMar>
            <w:vAlign w:val="bottom"/>
            <w:hideMark/>
          </w:tcPr>
          <w:p w:rsidR="00F761B8" w:rsidRPr="00C71655" w:rsidRDefault="00F761B8" w:rsidP="00F761B8">
            <w:pPr>
              <w:spacing w:line="360" w:lineRule="auto"/>
              <w:rPr>
                <w:sz w:val="21"/>
              </w:rPr>
            </w:pPr>
            <w:r w:rsidRPr="00C71655">
              <w:rPr>
                <w:sz w:val="21"/>
              </w:rPr>
              <w:t>3.852E-122</w:t>
            </w:r>
          </w:p>
        </w:tc>
      </w:tr>
    </w:tbl>
    <w:p w:rsidR="00D05A87" w:rsidRPr="00C71655" w:rsidRDefault="00D05A87" w:rsidP="00CF7691">
      <w:pPr>
        <w:spacing w:line="360" w:lineRule="auto"/>
      </w:pPr>
    </w:p>
    <w:p w:rsidR="00CF7691" w:rsidRPr="00C71655" w:rsidRDefault="00696033" w:rsidP="00E62C9E">
      <w:pPr>
        <w:spacing w:line="480" w:lineRule="auto"/>
        <w:ind w:firstLine="720"/>
      </w:pPr>
      <w:r w:rsidRPr="00C71655">
        <w:t xml:space="preserve">Comparing to the first model, </w:t>
      </w:r>
      <w:r w:rsidR="0054089B" w:rsidRPr="00C71655">
        <w:t>squared term of returns are added to this regression model so that it enlarge</w:t>
      </w:r>
      <w:r w:rsidR="00E62C9E">
        <w:t>s</w:t>
      </w:r>
      <w:r w:rsidR="0054089B" w:rsidRPr="00C71655">
        <w:t xml:space="preserve"> the impact of extreme return on IVIX. We use this model to test whether the size of the SSE 50 ETF returns can have a strong influence on the change of IVIX. From the regression Result,</w:t>
      </w:r>
      <w:r w:rsidR="00734478" w:rsidRPr="00C71655">
        <w:t xml:space="preserve"> both </w:t>
      </w:r>
      <m:oMath>
        <m:sSubSup>
          <m:sSubSupPr>
            <m:ctrlPr>
              <w:rPr>
                <w:rFonts w:ascii="Cambria Math" w:hAnsi="Cambria Math"/>
              </w:rPr>
            </m:ctrlPr>
          </m:sSubSupPr>
          <m:e>
            <m:r>
              <w:rPr>
                <w:rFonts w:ascii="Cambria Math" w:hAnsi="Cambria Math"/>
              </w:rPr>
              <m:t>β</m:t>
            </m:r>
          </m:e>
          <m:sub>
            <m:r>
              <m:rPr>
                <m:sty m:val="p"/>
              </m:rPr>
              <w:rPr>
                <w:rFonts w:ascii="Cambria Math" w:hAnsi="Cambria Math"/>
              </w:rPr>
              <m:t>2</m:t>
            </m:r>
          </m:sub>
          <m:sup>
            <m:r>
              <m:rPr>
                <m:sty m:val="p"/>
              </m:rPr>
              <w:rPr>
                <w:rFonts w:ascii="Cambria Math" w:hAnsi="Cambria Math"/>
              </w:rPr>
              <m:t>+</m:t>
            </m:r>
          </m:sup>
        </m:sSubSup>
      </m:oMath>
      <w:r w:rsidR="00734478" w:rsidRPr="00C71655">
        <w:t xml:space="preserve"> and </w:t>
      </w:r>
      <m:oMath>
        <m:sSubSup>
          <m:sSubSupPr>
            <m:ctrlPr>
              <w:rPr>
                <w:rFonts w:ascii="Cambria Math" w:hAnsi="Cambria Math"/>
              </w:rPr>
            </m:ctrlPr>
          </m:sSubSupPr>
          <m:e>
            <m:r>
              <w:rPr>
                <w:rFonts w:ascii="Cambria Math" w:hAnsi="Cambria Math"/>
              </w:rPr>
              <m:t>β</m:t>
            </m:r>
          </m:e>
          <m:sub>
            <m:r>
              <m:rPr>
                <m:sty m:val="p"/>
              </m:rPr>
              <w:rPr>
                <w:rFonts w:ascii="Cambria Math" w:hAnsi="Cambria Math"/>
              </w:rPr>
              <m:t>2</m:t>
            </m:r>
          </m:sub>
          <m:sup>
            <m:r>
              <m:rPr>
                <m:sty m:val="p"/>
              </m:rPr>
              <w:rPr>
                <w:rFonts w:ascii="Cambria Math" w:hAnsi="Cambria Math"/>
              </w:rPr>
              <m:t>-</m:t>
            </m:r>
          </m:sup>
        </m:sSubSup>
      </m:oMath>
      <w:r w:rsidR="00734478" w:rsidRPr="00C71655">
        <w:t xml:space="preserve"> are significantly different from zero. We can conclude that the size of return indeed has an impact on the change in IVIX. The sign and absolute value difference of </w:t>
      </w:r>
      <m:oMath>
        <m:sSubSup>
          <m:sSubSupPr>
            <m:ctrlPr>
              <w:rPr>
                <w:rFonts w:ascii="Cambria Math" w:hAnsi="Cambria Math"/>
              </w:rPr>
            </m:ctrlPr>
          </m:sSubSupPr>
          <m:e>
            <m:r>
              <w:rPr>
                <w:rFonts w:ascii="Cambria Math" w:hAnsi="Cambria Math"/>
              </w:rPr>
              <m:t>β</m:t>
            </m:r>
          </m:e>
          <m:sub>
            <m:r>
              <m:rPr>
                <m:sty m:val="p"/>
              </m:rPr>
              <w:rPr>
                <w:rFonts w:ascii="Cambria Math" w:hAnsi="Cambria Math"/>
              </w:rPr>
              <m:t>2</m:t>
            </m:r>
          </m:sub>
          <m:sup>
            <m:r>
              <m:rPr>
                <m:sty m:val="p"/>
              </m:rPr>
              <w:rPr>
                <w:rFonts w:ascii="Cambria Math" w:hAnsi="Cambria Math"/>
              </w:rPr>
              <m:t>+</m:t>
            </m:r>
          </m:sup>
        </m:sSubSup>
      </m:oMath>
      <w:r w:rsidR="00734478" w:rsidRPr="00C71655">
        <w:t xml:space="preserve"> and </w:t>
      </w:r>
      <m:oMath>
        <m:sSubSup>
          <m:sSubSupPr>
            <m:ctrlPr>
              <w:rPr>
                <w:rFonts w:ascii="Cambria Math" w:hAnsi="Cambria Math"/>
              </w:rPr>
            </m:ctrlPr>
          </m:sSubSupPr>
          <m:e>
            <m:r>
              <w:rPr>
                <w:rFonts w:ascii="Cambria Math" w:hAnsi="Cambria Math"/>
              </w:rPr>
              <m:t>β</m:t>
            </m:r>
          </m:e>
          <m:sub>
            <m:r>
              <m:rPr>
                <m:sty m:val="p"/>
              </m:rPr>
              <w:rPr>
                <w:rFonts w:ascii="Cambria Math" w:hAnsi="Cambria Math"/>
              </w:rPr>
              <m:t>2</m:t>
            </m:r>
          </m:sub>
          <m:sup>
            <m:r>
              <m:rPr>
                <m:sty m:val="p"/>
              </m:rPr>
              <w:rPr>
                <w:rFonts w:ascii="Cambria Math" w:hAnsi="Cambria Math"/>
              </w:rPr>
              <m:t>-</m:t>
            </m:r>
          </m:sup>
        </m:sSubSup>
      </m:oMath>
      <w:r w:rsidR="00734478" w:rsidRPr="00C71655">
        <w:t xml:space="preserve"> again justify our previous conclusion of partial negative effect and asymmetric relation.</w:t>
      </w:r>
    </w:p>
    <w:p w:rsidR="001D3D56" w:rsidRPr="00E62C9E" w:rsidRDefault="002F4A9A" w:rsidP="00E62C9E">
      <w:pPr>
        <w:pStyle w:val="ListParagraph"/>
        <w:numPr>
          <w:ilvl w:val="1"/>
          <w:numId w:val="13"/>
        </w:numPr>
        <w:spacing w:line="480" w:lineRule="auto"/>
        <w:rPr>
          <w:b/>
        </w:rPr>
      </w:pPr>
      <w:r w:rsidRPr="00E62C9E">
        <w:rPr>
          <w:b/>
        </w:rPr>
        <w:t>Lagged Effect</w:t>
      </w:r>
    </w:p>
    <w:p w:rsidR="002F4A9A" w:rsidRPr="00CF268F" w:rsidRDefault="0087272B" w:rsidP="004960FD">
      <w:pPr>
        <w:spacing w:line="480" w:lineRule="auto"/>
        <w:ind w:left="720"/>
        <w:rPr>
          <w:iCs/>
        </w:rPr>
      </w:pPr>
      <m:oMathPara>
        <m:oMathParaPr>
          <m:jc m:val="centerGroup"/>
        </m:oMathParaPr>
        <m:oMath>
          <m:sSub>
            <m:sSubPr>
              <m:ctrlPr>
                <w:rPr>
                  <w:rFonts w:ascii="Cambria Math" w:hAnsi="Cambria Math"/>
                  <w:i/>
                  <w:iCs/>
                </w:rPr>
              </m:ctrlPr>
            </m:sSubPr>
            <m:e>
              <m:r>
                <w:rPr>
                  <w:rFonts w:ascii="Cambria Math" w:hAnsi="Cambria Math"/>
                </w:rPr>
                <m:t>r</m:t>
              </m:r>
            </m:e>
            <m:sub>
              <m:r>
                <w:rPr>
                  <w:rFonts w:ascii="Cambria Math" w:hAnsi="Cambria Math"/>
                </w:rPr>
                <m:t>ETF,t</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0</m:t>
              </m:r>
            </m:sub>
          </m:sSub>
          <m:sSub>
            <m:sSubPr>
              <m:ctrlPr>
                <w:rPr>
                  <w:rFonts w:ascii="Cambria Math" w:hAnsi="Cambria Math"/>
                  <w:i/>
                  <w:iCs/>
                </w:rPr>
              </m:ctrlPr>
            </m:sSubPr>
            <m:e>
              <m:r>
                <w:rPr>
                  <w:rFonts w:ascii="Cambria Math" w:hAnsi="Cambria Math"/>
                </w:rPr>
                <m:t>r</m:t>
              </m:r>
            </m:e>
            <m:sub>
              <m:r>
                <w:rPr>
                  <w:rFonts w:ascii="Cambria Math" w:hAnsi="Cambria Math"/>
                </w:rPr>
                <m:t>VIX,t</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m:t>
              </m:r>
            </m:sub>
          </m:sSub>
          <m:sSub>
            <m:sSubPr>
              <m:ctrlPr>
                <w:rPr>
                  <w:rFonts w:ascii="Cambria Math" w:hAnsi="Cambria Math"/>
                  <w:i/>
                  <w:iCs/>
                </w:rPr>
              </m:ctrlPr>
            </m:sSubPr>
            <m:e>
              <m:r>
                <w:rPr>
                  <w:rFonts w:ascii="Cambria Math" w:hAnsi="Cambria Math"/>
                </w:rPr>
                <m:t>r</m:t>
              </m:r>
            </m:e>
            <m:sub>
              <m:r>
                <w:rPr>
                  <w:rFonts w:ascii="Cambria Math" w:hAnsi="Cambria Math"/>
                </w:rPr>
                <m:t>VIX,t-1</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2</m:t>
              </m:r>
            </m:sub>
          </m:sSub>
          <m:sSub>
            <m:sSubPr>
              <m:ctrlPr>
                <w:rPr>
                  <w:rFonts w:ascii="Cambria Math" w:hAnsi="Cambria Math"/>
                  <w:i/>
                  <w:iCs/>
                </w:rPr>
              </m:ctrlPr>
            </m:sSubPr>
            <m:e>
              <m:r>
                <w:rPr>
                  <w:rFonts w:ascii="Cambria Math" w:hAnsi="Cambria Math"/>
                </w:rPr>
                <m:t>r</m:t>
              </m:r>
            </m:e>
            <m:sub>
              <m:r>
                <w:rPr>
                  <w:rFonts w:ascii="Cambria Math" w:hAnsi="Cambria Math"/>
                </w:rPr>
                <m:t>VIX,t-2</m:t>
              </m:r>
            </m:sub>
          </m:sSub>
          <m:r>
            <w:rPr>
              <w:rFonts w:ascii="Cambria Math" w:hAnsi="Cambria Math"/>
            </w:rPr>
            <m:t>……+</m:t>
          </m:r>
          <m:sSub>
            <m:sSubPr>
              <m:ctrlPr>
                <w:rPr>
                  <w:rFonts w:ascii="Cambria Math" w:hAnsi="Cambria Math"/>
                  <w:i/>
                  <w:iCs/>
                </w:rPr>
              </m:ctrlPr>
            </m:sSubPr>
            <m:e>
              <m:r>
                <w:rPr>
                  <w:rFonts w:ascii="Cambria Math" w:hAnsi="Cambria Math"/>
                </w:rPr>
                <m:t>β</m:t>
              </m:r>
            </m:e>
            <m:sub>
              <m:r>
                <w:rPr>
                  <w:rFonts w:ascii="Cambria Math" w:hAnsi="Cambria Math"/>
                </w:rPr>
                <m:t>15</m:t>
              </m:r>
            </m:sub>
          </m:sSub>
          <m:sSub>
            <m:sSubPr>
              <m:ctrlPr>
                <w:rPr>
                  <w:rFonts w:ascii="Cambria Math" w:hAnsi="Cambria Math"/>
                  <w:i/>
                  <w:iCs/>
                </w:rPr>
              </m:ctrlPr>
            </m:sSubPr>
            <m:e>
              <m:r>
                <w:rPr>
                  <w:rFonts w:ascii="Cambria Math" w:hAnsi="Cambria Math"/>
                </w:rPr>
                <m:t>r</m:t>
              </m:r>
            </m:e>
            <m:sub>
              <m:r>
                <w:rPr>
                  <w:rFonts w:ascii="Cambria Math" w:hAnsi="Cambria Math"/>
                </w:rPr>
                <m:t>VIX,t-15</m:t>
              </m:r>
            </m:sub>
          </m:sSub>
          <m:r>
            <w:rPr>
              <w:rFonts w:ascii="Cambria Math" w:hAnsi="Cambria Math"/>
            </w:rPr>
            <m:t>+</m:t>
          </m:r>
          <m:sSub>
            <m:sSubPr>
              <m:ctrlPr>
                <w:rPr>
                  <w:rFonts w:ascii="Cambria Math" w:hAnsi="Cambria Math"/>
                  <w:i/>
                  <w:iCs/>
                </w:rPr>
              </m:ctrlPr>
            </m:sSubPr>
            <m:e>
              <m:r>
                <w:rPr>
                  <w:rFonts w:ascii="Cambria Math" w:hAnsi="Cambria Math"/>
                </w:rPr>
                <m:t>ϵ</m:t>
              </m:r>
            </m:e>
            <m:sub>
              <m:r>
                <w:rPr>
                  <w:rFonts w:ascii="Cambria Math" w:hAnsi="Cambria Math"/>
                </w:rPr>
                <m:t>t</m:t>
              </m:r>
            </m:sub>
          </m:sSub>
        </m:oMath>
      </m:oMathPara>
    </w:p>
    <w:p w:rsidR="00CF268F" w:rsidRDefault="00CF268F" w:rsidP="004960FD">
      <w:pPr>
        <w:spacing w:line="480" w:lineRule="auto"/>
        <w:ind w:left="720"/>
        <w:rPr>
          <w:iCs/>
        </w:rPr>
      </w:pPr>
    </w:p>
    <w:p w:rsidR="00CF268F" w:rsidRPr="00C71655" w:rsidRDefault="00CF268F" w:rsidP="004960FD">
      <w:pPr>
        <w:spacing w:line="480" w:lineRule="auto"/>
        <w:ind w:left="720"/>
        <w:rPr>
          <w:iCs/>
        </w:rPr>
      </w:pPr>
      <w:bookmarkStart w:id="2" w:name="_GoBack"/>
      <w:bookmarkEnd w:id="2"/>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3"/>
        <w:gridCol w:w="1560"/>
        <w:gridCol w:w="2126"/>
        <w:gridCol w:w="1984"/>
        <w:gridCol w:w="2268"/>
      </w:tblGrid>
      <w:tr w:rsidR="002F4A9A" w:rsidRPr="00C71655" w:rsidTr="004B04F2">
        <w:trPr>
          <w:trHeight w:val="413"/>
        </w:trPr>
        <w:tc>
          <w:tcPr>
            <w:tcW w:w="1843" w:type="dxa"/>
            <w:shd w:val="clear" w:color="auto" w:fill="AEAAAA" w:themeFill="background2" w:themeFillShade="BF"/>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p>
        </w:tc>
        <w:tc>
          <w:tcPr>
            <w:tcW w:w="1560" w:type="dxa"/>
            <w:shd w:val="clear" w:color="auto" w:fill="AEAAAA" w:themeFill="background2" w:themeFillShade="BF"/>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Coefficients</w:t>
            </w:r>
          </w:p>
        </w:tc>
        <w:tc>
          <w:tcPr>
            <w:tcW w:w="2126" w:type="dxa"/>
            <w:shd w:val="clear" w:color="auto" w:fill="AEAAAA" w:themeFill="background2" w:themeFillShade="BF"/>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Standard Error</w:t>
            </w:r>
          </w:p>
        </w:tc>
        <w:tc>
          <w:tcPr>
            <w:tcW w:w="1984" w:type="dxa"/>
            <w:shd w:val="clear" w:color="auto" w:fill="AEAAAA" w:themeFill="background2" w:themeFillShade="BF"/>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t Stat</w:t>
            </w:r>
          </w:p>
        </w:tc>
        <w:tc>
          <w:tcPr>
            <w:tcW w:w="2268" w:type="dxa"/>
            <w:shd w:val="clear" w:color="auto" w:fill="AEAAAA" w:themeFill="background2" w:themeFillShade="BF"/>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P-value</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Intercept</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1.0325E-06</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1.1826E-06</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0.87308238</w:t>
            </w:r>
          </w:p>
        </w:tc>
        <w:tc>
          <w:tcPr>
            <w:tcW w:w="2268"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0.38262093</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-0.0115755</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0.00047346</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-24.448565</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1.677E-131</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- 1</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0.00020892</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0.00047418</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0.4405878</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0.65951269</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- 2</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0.00019944</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0.00047433</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0.42047896</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0.67413678</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- 3</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-0.0004534</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0.00047446</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-0.9556874</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0.33923322</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- 4</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0.0004176</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0.00047456</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0.87996995</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0.37887836</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- 5</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0.0005915</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0.00047461</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1.24628541</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0.21266346</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4B04F2">
            <w:pPr>
              <w:spacing w:line="360" w:lineRule="auto"/>
              <w:jc w:val="center"/>
              <w:rPr>
                <w:sz w:val="21"/>
                <w:szCs w:val="21"/>
              </w:rPr>
            </w:pPr>
            <w:r w:rsidRPr="00C71655">
              <w:rPr>
                <w:sz w:val="21"/>
                <w:szCs w:val="21"/>
              </w:rPr>
              <w:t>…</w:t>
            </w:r>
          </w:p>
        </w:tc>
        <w:tc>
          <w:tcPr>
            <w:tcW w:w="1560" w:type="dxa"/>
            <w:shd w:val="clear" w:color="auto" w:fill="auto"/>
            <w:tcMar>
              <w:top w:w="11" w:type="dxa"/>
              <w:left w:w="11" w:type="dxa"/>
              <w:bottom w:w="0" w:type="dxa"/>
              <w:right w:w="11" w:type="dxa"/>
            </w:tcMar>
            <w:vAlign w:val="bottom"/>
            <w:hideMark/>
          </w:tcPr>
          <w:p w:rsidR="002F4A9A" w:rsidRPr="00C71655" w:rsidRDefault="002F4A9A" w:rsidP="004B04F2">
            <w:pPr>
              <w:spacing w:line="360" w:lineRule="auto"/>
              <w:jc w:val="center"/>
              <w:rPr>
                <w:sz w:val="21"/>
                <w:szCs w:val="21"/>
              </w:rPr>
            </w:pPr>
            <w:r w:rsidRPr="00C71655">
              <w:rPr>
                <w:sz w:val="21"/>
                <w:szCs w:val="21"/>
              </w:rPr>
              <w:t>…</w:t>
            </w:r>
          </w:p>
        </w:tc>
        <w:tc>
          <w:tcPr>
            <w:tcW w:w="2126" w:type="dxa"/>
            <w:shd w:val="clear" w:color="auto" w:fill="auto"/>
            <w:tcMar>
              <w:top w:w="11" w:type="dxa"/>
              <w:left w:w="11" w:type="dxa"/>
              <w:bottom w:w="0" w:type="dxa"/>
              <w:right w:w="11" w:type="dxa"/>
            </w:tcMar>
            <w:vAlign w:val="bottom"/>
            <w:hideMark/>
          </w:tcPr>
          <w:p w:rsidR="002F4A9A" w:rsidRPr="00C71655" w:rsidRDefault="002F4A9A" w:rsidP="004B04F2">
            <w:pPr>
              <w:spacing w:line="360" w:lineRule="auto"/>
              <w:jc w:val="center"/>
              <w:rPr>
                <w:sz w:val="21"/>
                <w:szCs w:val="21"/>
              </w:rPr>
            </w:pPr>
            <w:r w:rsidRPr="00C71655">
              <w:rPr>
                <w:sz w:val="21"/>
                <w:szCs w:val="21"/>
              </w:rPr>
              <w:t>…</w:t>
            </w:r>
          </w:p>
        </w:tc>
        <w:tc>
          <w:tcPr>
            <w:tcW w:w="1984" w:type="dxa"/>
            <w:shd w:val="clear" w:color="auto" w:fill="auto"/>
            <w:tcMar>
              <w:top w:w="11" w:type="dxa"/>
              <w:left w:w="11" w:type="dxa"/>
              <w:bottom w:w="0" w:type="dxa"/>
              <w:right w:w="11" w:type="dxa"/>
            </w:tcMar>
            <w:vAlign w:val="bottom"/>
            <w:hideMark/>
          </w:tcPr>
          <w:p w:rsidR="002F4A9A" w:rsidRPr="00C71655" w:rsidRDefault="002F4A9A" w:rsidP="004B04F2">
            <w:pPr>
              <w:spacing w:line="360" w:lineRule="auto"/>
              <w:jc w:val="center"/>
              <w:rPr>
                <w:sz w:val="21"/>
                <w:szCs w:val="21"/>
              </w:rPr>
            </w:pPr>
            <w:r w:rsidRPr="00C71655">
              <w:rPr>
                <w:sz w:val="21"/>
                <w:szCs w:val="21"/>
              </w:rPr>
              <w:t>….</w:t>
            </w:r>
          </w:p>
        </w:tc>
        <w:tc>
          <w:tcPr>
            <w:tcW w:w="2268" w:type="dxa"/>
            <w:shd w:val="clear" w:color="auto" w:fill="FFC000"/>
            <w:tcMar>
              <w:top w:w="11" w:type="dxa"/>
              <w:left w:w="11" w:type="dxa"/>
              <w:bottom w:w="0" w:type="dxa"/>
              <w:right w:w="11" w:type="dxa"/>
            </w:tcMar>
            <w:vAlign w:val="bottom"/>
            <w:hideMark/>
          </w:tcPr>
          <w:p w:rsidR="002F4A9A" w:rsidRPr="00C71655" w:rsidRDefault="002F4A9A" w:rsidP="004B04F2">
            <w:pPr>
              <w:spacing w:line="360" w:lineRule="auto"/>
              <w:jc w:val="center"/>
              <w:rPr>
                <w:sz w:val="21"/>
                <w:szCs w:val="21"/>
              </w:rPr>
            </w:pPr>
            <w:r w:rsidRPr="00C71655">
              <w:rPr>
                <w:sz w:val="21"/>
                <w:szCs w:val="21"/>
              </w:rPr>
              <w:t>….</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- 12</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0.00046125</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0.00047465</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0.97176457</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0.33117077</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- 13</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3.0143E-05</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0.00047465</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0.06350583</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0.94936389</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- 14</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0.00047033</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0.00047417</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0.9919129</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0.32124316</w:t>
            </w:r>
          </w:p>
        </w:tc>
      </w:tr>
      <w:tr w:rsidR="002F4A9A" w:rsidRPr="00C71655" w:rsidTr="004B04F2">
        <w:trPr>
          <w:trHeight w:val="413"/>
        </w:trPr>
        <w:tc>
          <w:tcPr>
            <w:tcW w:w="1843"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rPr>
                <w:sz w:val="21"/>
                <w:szCs w:val="21"/>
              </w:rPr>
            </w:pPr>
            <w:r w:rsidRPr="00C71655">
              <w:rPr>
                <w:sz w:val="21"/>
                <w:szCs w:val="21"/>
              </w:rPr>
              <w:t>VIX at t - 15</w:t>
            </w:r>
          </w:p>
        </w:tc>
        <w:tc>
          <w:tcPr>
            <w:tcW w:w="1560"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-8.982E-05</w:t>
            </w:r>
          </w:p>
        </w:tc>
        <w:tc>
          <w:tcPr>
            <w:tcW w:w="2126"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0.00047346</w:t>
            </w:r>
          </w:p>
        </w:tc>
        <w:tc>
          <w:tcPr>
            <w:tcW w:w="1984" w:type="dxa"/>
            <w:shd w:val="clear" w:color="auto" w:fill="auto"/>
            <w:tcMar>
              <w:top w:w="11" w:type="dxa"/>
              <w:left w:w="11" w:type="dxa"/>
              <w:bottom w:w="0" w:type="dxa"/>
              <w:right w:w="11" w:type="dxa"/>
            </w:tcMar>
            <w:vAlign w:val="bottom"/>
            <w:hideMark/>
          </w:tcPr>
          <w:p w:rsidR="002F4A9A" w:rsidRPr="00C71655" w:rsidRDefault="002F4A9A" w:rsidP="002F4A9A">
            <w:pPr>
              <w:spacing w:line="360" w:lineRule="auto"/>
              <w:jc w:val="center"/>
              <w:rPr>
                <w:sz w:val="21"/>
                <w:szCs w:val="21"/>
              </w:rPr>
            </w:pPr>
            <w:r w:rsidRPr="00C71655">
              <w:rPr>
                <w:sz w:val="21"/>
                <w:szCs w:val="21"/>
              </w:rPr>
              <w:t>-0.1897088</w:t>
            </w:r>
          </w:p>
        </w:tc>
        <w:tc>
          <w:tcPr>
            <w:tcW w:w="2268" w:type="dxa"/>
            <w:shd w:val="clear" w:color="auto" w:fill="FFC000"/>
            <w:tcMar>
              <w:top w:w="11" w:type="dxa"/>
              <w:left w:w="11" w:type="dxa"/>
              <w:bottom w:w="0" w:type="dxa"/>
              <w:right w:w="11" w:type="dxa"/>
            </w:tcMar>
            <w:vAlign w:val="bottom"/>
            <w:hideMark/>
          </w:tcPr>
          <w:p w:rsidR="002F4A9A" w:rsidRPr="00C71655" w:rsidRDefault="002F4A9A" w:rsidP="002F4A9A">
            <w:pPr>
              <w:spacing w:line="360" w:lineRule="auto"/>
              <w:ind w:left="720"/>
              <w:rPr>
                <w:sz w:val="21"/>
                <w:szCs w:val="21"/>
              </w:rPr>
            </w:pPr>
            <w:r w:rsidRPr="00C71655">
              <w:rPr>
                <w:sz w:val="21"/>
                <w:szCs w:val="21"/>
              </w:rPr>
              <w:t>0.8495378</w:t>
            </w:r>
          </w:p>
        </w:tc>
      </w:tr>
    </w:tbl>
    <w:p w:rsidR="002F4A9A" w:rsidRPr="00C71655" w:rsidRDefault="002F4A9A" w:rsidP="002F4A9A">
      <w:pPr>
        <w:spacing w:line="360" w:lineRule="auto"/>
        <w:ind w:left="720"/>
      </w:pPr>
    </w:p>
    <w:p w:rsidR="001D3D56" w:rsidRPr="00C71655" w:rsidRDefault="00477D66" w:rsidP="00E62C9E">
      <w:pPr>
        <w:spacing w:line="480" w:lineRule="auto"/>
        <w:ind w:firstLine="720"/>
      </w:pPr>
      <w:r w:rsidRPr="00C71655">
        <w:t xml:space="preserve">The third model </w:t>
      </w:r>
      <w:r w:rsidR="00257DB6" w:rsidRPr="00C71655">
        <w:t>adds the lagged term of IVIX to test the influence of past IVIX on current stock returns. By the regression result, every lagged term has a large p-value indicating that they are not significantly different from zero. This conclusion is in contrast with literature in US market using daily data</w:t>
      </w:r>
      <w:r w:rsidR="00D44C22" w:rsidRPr="00C71655">
        <w:t xml:space="preserve">. </w:t>
      </w:r>
      <w:r w:rsidR="0047715F" w:rsidRPr="00C71655">
        <w:t>However, it is in accordance with the behavioral theories</w:t>
      </w:r>
      <w:r w:rsidR="00423C4E" w:rsidRPr="00C71655">
        <w:t xml:space="preserve"> which provides more reasonable explanation on high frequency data, as shown in (1). Comparing to classic theories which emphasize lagged term, behavioral theories focus more on the contemporaneous relation</w:t>
      </w:r>
      <w:r w:rsidR="00E62C9E">
        <w:t xml:space="preserve"> </w:t>
      </w:r>
      <w:r w:rsidR="00423C4E" w:rsidRPr="00C71655">
        <w:t xml:space="preserve">due to its shorter response time. </w:t>
      </w:r>
      <w:r w:rsidR="00191293" w:rsidRPr="00C71655">
        <w:t>It also explains the insignificance of lagged term in the third model.</w:t>
      </w:r>
    </w:p>
    <w:p w:rsidR="001D3D56" w:rsidRPr="00C71655" w:rsidRDefault="00191293" w:rsidP="00B56219">
      <w:pPr>
        <w:spacing w:line="480" w:lineRule="auto"/>
        <w:ind w:firstLine="720"/>
      </w:pPr>
      <w:r w:rsidRPr="00C71655">
        <w:t xml:space="preserve">As a conclusion, we use several regression models on intraday data in the Chinese market to analyze the relationship between IVIX and its underlying stock return. Our results show that </w:t>
      </w:r>
      <w:r w:rsidR="006008F0" w:rsidRPr="00C71655">
        <w:t xml:space="preserve">IVIX is weakly negative correlated with underlying returns, contrary to the US market. More specifically, </w:t>
      </w:r>
      <w:r w:rsidRPr="00C71655">
        <w:t>IVIX is positively correlated with positive return and negative correlated with negative return. There exists asymmetric relation and size effect</w:t>
      </w:r>
      <w:r w:rsidR="00886D89" w:rsidRPr="00C71655">
        <w:t>, but no lagged effect</w:t>
      </w:r>
      <w:r w:rsidRPr="00C71655">
        <w:t xml:space="preserve"> on the data. </w:t>
      </w:r>
      <w:r w:rsidR="00886D89" w:rsidRPr="00C71655">
        <w:t xml:space="preserve">Behavioral theories could provide more suitable explanation than </w:t>
      </w:r>
      <w:r w:rsidR="00886D89" w:rsidRPr="00C71655">
        <w:lastRenderedPageBreak/>
        <w:t>traditional theories such as leverage hypothesis and volatility feedback theories for above phenomena using high frequency data in the Chinese market.</w:t>
      </w:r>
    </w:p>
    <w:p w:rsidR="005B5124" w:rsidRPr="00B56219" w:rsidRDefault="005B5124" w:rsidP="00B56219">
      <w:pPr>
        <w:pStyle w:val="ListParagraph"/>
        <w:numPr>
          <w:ilvl w:val="0"/>
          <w:numId w:val="13"/>
        </w:numPr>
        <w:spacing w:line="480" w:lineRule="auto"/>
        <w:rPr>
          <w:b/>
          <w:sz w:val="32"/>
        </w:rPr>
      </w:pPr>
      <w:r w:rsidRPr="00B56219">
        <w:rPr>
          <w:b/>
          <w:sz w:val="32"/>
        </w:rPr>
        <w:t>Forecasting future realized volatili</w:t>
      </w:r>
      <w:r w:rsidR="00D36DA0" w:rsidRPr="00B56219">
        <w:rPr>
          <w:b/>
          <w:sz w:val="32"/>
        </w:rPr>
        <w:t>ti</w:t>
      </w:r>
      <w:r w:rsidRPr="00B56219">
        <w:rPr>
          <w:b/>
          <w:sz w:val="32"/>
        </w:rPr>
        <w:t>es</w:t>
      </w:r>
    </w:p>
    <w:p w:rsidR="00BC5ED0" w:rsidRPr="00C71655" w:rsidRDefault="00D36DA0" w:rsidP="00B56219">
      <w:pPr>
        <w:spacing w:line="480" w:lineRule="auto"/>
        <w:ind w:firstLine="720"/>
        <w:rPr>
          <w:rFonts w:eastAsia="SimSun"/>
        </w:rPr>
      </w:pPr>
      <w:r w:rsidRPr="00C71655">
        <w:rPr>
          <w:rFonts w:eastAsia="SimSun"/>
        </w:rPr>
        <w:t xml:space="preserve">Realized volatility is computed using the sum of squared returns over the past period, therefore is often considered as an estimator for the actual movement in the market. Implied volatility, on the other hand, reflects </w:t>
      </w:r>
      <w:r w:rsidR="00BB7165" w:rsidRPr="00C71655">
        <w:rPr>
          <w:rFonts w:eastAsia="SimSun"/>
        </w:rPr>
        <w:t>market</w:t>
      </w:r>
      <w:r w:rsidRPr="00C71655">
        <w:rPr>
          <w:rFonts w:eastAsia="SimSun"/>
        </w:rPr>
        <w:t xml:space="preserve">’s expectation of </w:t>
      </w:r>
      <w:r w:rsidR="00BB7165" w:rsidRPr="00C71655">
        <w:rPr>
          <w:rFonts w:eastAsia="SimSun"/>
        </w:rPr>
        <w:t xml:space="preserve">volatility for future fluctuations. </w:t>
      </w:r>
      <w:r w:rsidR="00E13274" w:rsidRPr="00C71655">
        <w:rPr>
          <w:rFonts w:eastAsia="SimSun"/>
        </w:rPr>
        <w:t>The</w:t>
      </w:r>
      <w:r w:rsidR="00A04250" w:rsidRPr="00C71655">
        <w:rPr>
          <w:rFonts w:eastAsia="SimSun"/>
        </w:rPr>
        <w:t xml:space="preserve"> topic of using implied volatilit</w:t>
      </w:r>
      <w:r w:rsidR="00E13274" w:rsidRPr="00C71655">
        <w:rPr>
          <w:rFonts w:eastAsia="SimSun"/>
        </w:rPr>
        <w:t>y</w:t>
      </w:r>
      <w:r w:rsidR="00A04250" w:rsidRPr="00C71655">
        <w:rPr>
          <w:rFonts w:eastAsia="SimSun"/>
        </w:rPr>
        <w:t xml:space="preserve"> to </w:t>
      </w:r>
      <w:r w:rsidR="002D639D" w:rsidRPr="00C71655">
        <w:rPr>
          <w:rFonts w:eastAsia="SimSun"/>
        </w:rPr>
        <w:t xml:space="preserve">forecast future realized volatility for underlying asset </w:t>
      </w:r>
      <w:r w:rsidR="00FA7327" w:rsidRPr="00C71655">
        <w:rPr>
          <w:rFonts w:eastAsia="SimSun"/>
        </w:rPr>
        <w:t xml:space="preserve">is investigated </w:t>
      </w:r>
      <w:r w:rsidR="0044741F" w:rsidRPr="00C71655">
        <w:rPr>
          <w:rFonts w:eastAsia="SimSun"/>
        </w:rPr>
        <w:t xml:space="preserve">thoroughly </w:t>
      </w:r>
      <w:r w:rsidR="00FA7327" w:rsidRPr="00C71655">
        <w:rPr>
          <w:rFonts w:eastAsia="SimSun"/>
        </w:rPr>
        <w:t xml:space="preserve">on various markets and at different frequencies. </w:t>
      </w:r>
      <w:r w:rsidR="00E13274" w:rsidRPr="00C71655">
        <w:rPr>
          <w:rFonts w:eastAsia="SimSun"/>
        </w:rPr>
        <w:t>Instead of using implied volatility, a</w:t>
      </w:r>
      <w:r w:rsidR="00BC5ED0" w:rsidRPr="00C71655">
        <w:rPr>
          <w:rFonts w:eastAsia="SimSun"/>
        </w:rPr>
        <w:t>nother common way to forecast future realized volatility is using GARCH model, specifically, GARCH(1,1) model below</w:t>
      </w:r>
      <w:r w:rsidR="00147ADC" w:rsidRPr="00C71655">
        <w:rPr>
          <w:rFonts w:eastAsia="SimSun"/>
        </w:rPr>
        <w:t>, which is a linear function of its own delay</w:t>
      </w:r>
      <w:r w:rsidR="00BC5ED0" w:rsidRPr="00C71655">
        <w:rPr>
          <w:rFonts w:eastAsia="SimSun"/>
        </w:rPr>
        <w:t>:</w:t>
      </w:r>
    </w:p>
    <w:p w:rsidR="008B6D97" w:rsidRPr="00C71655" w:rsidRDefault="0087272B" w:rsidP="00EC6736">
      <w:pPr>
        <w:spacing w:line="480" w:lineRule="auto"/>
        <w:rPr>
          <w:rFonts w:eastAsia="SimSun"/>
        </w:rPr>
      </w:pPr>
      <m:oMathPara>
        <m:oMath>
          <m:sSub>
            <m:sSubPr>
              <m:ctrlPr>
                <w:rPr>
                  <w:rFonts w:ascii="Cambria Math" w:eastAsia="SimSun" w:hAnsi="Cambria Math"/>
                </w:rPr>
              </m:ctrlPr>
            </m:sSubPr>
            <m:e>
              <m:r>
                <m:rPr>
                  <m:sty m:val="p"/>
                </m:rPr>
                <w:rPr>
                  <w:rFonts w:ascii="Cambria Math" w:eastAsia="SimSun" w:hAnsi="Cambria Math"/>
                </w:rPr>
                <m:t>h</m:t>
              </m:r>
            </m:e>
            <m:sub>
              <m:r>
                <w:rPr>
                  <w:rFonts w:ascii="Cambria Math" w:eastAsia="SimSun" w:hAnsi="Cambria Math"/>
                </w:rPr>
                <m:t>t</m:t>
              </m:r>
            </m:sub>
          </m:sSub>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b</m:t>
              </m:r>
            </m:e>
            <m:sub>
              <m:r>
                <m:rPr>
                  <m:sty m:val="p"/>
                </m:rPr>
                <w:rPr>
                  <w:rFonts w:ascii="Cambria Math" w:eastAsia="SimSun" w:hAnsi="Cambria Math"/>
                </w:rPr>
                <m:t>0</m:t>
              </m:r>
            </m:sub>
          </m:sSub>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b</m:t>
              </m:r>
            </m:e>
            <m:sub>
              <m:r>
                <w:rPr>
                  <w:rFonts w:ascii="Cambria Math" w:eastAsia="SimSun" w:hAnsi="Cambria Math"/>
                </w:rPr>
                <m:t>1</m:t>
              </m:r>
            </m:sub>
          </m:sSub>
          <m:sSubSup>
            <m:sSubSupPr>
              <m:ctrlPr>
                <w:rPr>
                  <w:rFonts w:ascii="Cambria Math" w:eastAsia="SimSun" w:hAnsi="Cambria Math"/>
                </w:rPr>
              </m:ctrlPr>
            </m:sSubSupPr>
            <m:e>
              <m:r>
                <m:rPr>
                  <m:sty m:val="p"/>
                </m:rPr>
                <w:rPr>
                  <w:rFonts w:ascii="Cambria Math" w:eastAsia="SimSun" w:hAnsi="Cambria Math"/>
                </w:rPr>
                <m:t>ϵ</m:t>
              </m:r>
            </m:e>
            <m:sub>
              <m:r>
                <m:rPr>
                  <m:sty m:val="p"/>
                </m:rPr>
                <w:rPr>
                  <w:rFonts w:ascii="Cambria Math" w:eastAsia="SimSun" w:hAnsi="Cambria Math"/>
                </w:rPr>
                <m:t>t-1</m:t>
              </m:r>
            </m:sub>
            <m:sup>
              <m:r>
                <m:rPr>
                  <m:sty m:val="p"/>
                </m:rPr>
                <w:rPr>
                  <w:rFonts w:ascii="Cambria Math" w:eastAsia="SimSun" w:hAnsi="Cambria Math"/>
                </w:rPr>
                <m:t>2</m:t>
              </m:r>
            </m:sup>
          </m:sSubSup>
          <m:r>
            <m:rPr>
              <m:sty m:val="p"/>
            </m:rP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b</m:t>
              </m:r>
            </m:e>
            <m:sub>
              <m:r>
                <m:rPr>
                  <m:sty m:val="p"/>
                </m:rPr>
                <w:rPr>
                  <w:rFonts w:ascii="Cambria Math" w:eastAsia="SimSun" w:hAnsi="Cambria Math"/>
                </w:rPr>
                <m:t>2</m:t>
              </m:r>
            </m:sub>
          </m:sSub>
          <m:sSub>
            <m:sSubPr>
              <m:ctrlPr>
                <w:rPr>
                  <w:rFonts w:ascii="Cambria Math" w:eastAsia="SimSun" w:hAnsi="Cambria Math"/>
                </w:rPr>
              </m:ctrlPr>
            </m:sSubPr>
            <m:e>
              <m:r>
                <m:rPr>
                  <m:sty m:val="p"/>
                </m:rPr>
                <w:rPr>
                  <w:rFonts w:ascii="Cambria Math" w:eastAsia="SimSun" w:hAnsi="Cambria Math"/>
                </w:rPr>
                <m:t>h</m:t>
              </m:r>
            </m:e>
            <m:sub>
              <m:r>
                <m:rPr>
                  <m:sty m:val="p"/>
                </m:rPr>
                <w:rPr>
                  <w:rFonts w:ascii="Cambria Math" w:eastAsia="SimSun" w:hAnsi="Cambria Math"/>
                </w:rPr>
                <m:t>t-1</m:t>
              </m:r>
            </m:sub>
          </m:sSub>
        </m:oMath>
      </m:oMathPara>
    </w:p>
    <w:p w:rsidR="00AB072A" w:rsidRPr="00C71655" w:rsidRDefault="00D27038" w:rsidP="00B56219">
      <w:pPr>
        <w:spacing w:line="480" w:lineRule="auto"/>
        <w:ind w:firstLine="720"/>
        <w:rPr>
          <w:rFonts w:eastAsia="SimSun"/>
        </w:rPr>
      </w:pPr>
      <w:r w:rsidRPr="00C71655">
        <w:rPr>
          <w:rFonts w:eastAsia="SimSun"/>
        </w:rPr>
        <w:t xml:space="preserve">In this </w:t>
      </w:r>
      <w:r w:rsidR="000F2565" w:rsidRPr="00C71655">
        <w:rPr>
          <w:rFonts w:eastAsia="SimSun"/>
        </w:rPr>
        <w:t>section</w:t>
      </w:r>
      <w:r w:rsidRPr="00C71655">
        <w:rPr>
          <w:rFonts w:eastAsia="SimSun"/>
        </w:rPr>
        <w:t>, we examine whether the high frequency IVIX we compute</w:t>
      </w:r>
      <w:r w:rsidR="008722A5" w:rsidRPr="00C71655">
        <w:rPr>
          <w:rFonts w:eastAsia="SimSun"/>
        </w:rPr>
        <w:t>d</w:t>
      </w:r>
      <w:r w:rsidRPr="00C71655">
        <w:rPr>
          <w:rFonts w:eastAsia="SimSun"/>
        </w:rPr>
        <w:t xml:space="preserve"> has predictive power on future realized volatility and </w:t>
      </w:r>
      <w:r w:rsidR="00BC5ED0" w:rsidRPr="00C71655">
        <w:rPr>
          <w:rFonts w:eastAsia="SimSun"/>
        </w:rPr>
        <w:t>how is the predictive performance comparing to GARCH(1,1) estimate.</w:t>
      </w:r>
      <w:r w:rsidR="002D419D" w:rsidRPr="00C71655">
        <w:rPr>
          <w:rFonts w:eastAsia="SimSun"/>
        </w:rPr>
        <w:t xml:space="preserve"> </w:t>
      </w:r>
      <w:r w:rsidR="008722A5" w:rsidRPr="00C71655">
        <w:rPr>
          <w:rFonts w:eastAsia="SimSun"/>
        </w:rPr>
        <w:t>Regarding to the data, t</w:t>
      </w:r>
      <w:r w:rsidR="002D419D" w:rsidRPr="00C71655">
        <w:rPr>
          <w:rFonts w:eastAsia="SimSun"/>
        </w:rPr>
        <w:t>he daily GARCH(1,1) estimate is obtained from Volatility Institute in NYUSH. The daily realized volatility is measured using sum of squared returns in intraday level. The daily IVIX is computed as the average of intraday IVIX.</w:t>
      </w:r>
    </w:p>
    <w:p w:rsidR="004157E4" w:rsidRPr="00C71655" w:rsidRDefault="004157E4" w:rsidP="00B56219">
      <w:pPr>
        <w:spacing w:line="480" w:lineRule="auto"/>
        <w:ind w:firstLine="720"/>
        <w:rPr>
          <w:rFonts w:eastAsia="SimSun"/>
        </w:rPr>
      </w:pPr>
      <w:r w:rsidRPr="00C71655">
        <w:rPr>
          <w:rFonts w:eastAsia="SimSun"/>
        </w:rPr>
        <w:t xml:space="preserve">We </w:t>
      </w:r>
      <w:r w:rsidR="00F60CD3" w:rsidRPr="00C71655">
        <w:rPr>
          <w:rFonts w:eastAsia="SimSun"/>
        </w:rPr>
        <w:t xml:space="preserve">first </w:t>
      </w:r>
      <w:r w:rsidRPr="00C71655">
        <w:rPr>
          <w:rFonts w:eastAsia="SimSun"/>
        </w:rPr>
        <w:t>regress realized volatility with lagged IVIX and lagged GARCH(1,1) estimate respectively and get the regression result below.</w:t>
      </w:r>
    </w:p>
    <w:p w:rsidR="005B77DF" w:rsidRPr="00C71655" w:rsidRDefault="005B77DF" w:rsidP="00EC6736">
      <w:pPr>
        <w:spacing w:line="480" w:lineRule="auto"/>
        <w:rPr>
          <w:rFonts w:eastAsia="SimSun"/>
        </w:rPr>
      </w:pPr>
      <w:r w:rsidRPr="00C71655">
        <w:rPr>
          <w:rFonts w:eastAsia="SimSun"/>
        </w:rPr>
        <w:t>Model 1:</w:t>
      </w:r>
    </w:p>
    <w:p w:rsidR="004157E4" w:rsidRPr="00C71655" w:rsidRDefault="0087272B" w:rsidP="00EC6736">
      <w:pPr>
        <w:spacing w:line="480" w:lineRule="auto"/>
        <w:rPr>
          <w:rFonts w:eastAsia="SimSun"/>
        </w:rPr>
      </w:pPr>
      <m:oMathPara>
        <m:oMath>
          <m:sSub>
            <m:sSubPr>
              <m:ctrlPr>
                <w:rPr>
                  <w:rFonts w:ascii="Cambria Math" w:eastAsia="SimSun" w:hAnsi="Cambria Math"/>
                </w:rPr>
              </m:ctrlPr>
            </m:sSubPr>
            <m:e>
              <m:r>
                <m:rPr>
                  <m:sty m:val="p"/>
                </m:rPr>
                <w:rPr>
                  <w:rFonts w:ascii="Cambria Math" w:eastAsia="SimSun" w:hAnsi="Cambria Math"/>
                  <w:lang w:val="es-ES"/>
                </w:rPr>
                <m:t>RV</m:t>
              </m:r>
            </m:e>
            <m:sub>
              <m:r>
                <m:rPr>
                  <m:sty m:val="p"/>
                </m:rPr>
                <w:rPr>
                  <w:rFonts w:ascii="Cambria Math" w:eastAsia="SimSun" w:hAnsi="Cambria Math"/>
                  <w:lang w:val="es-ES"/>
                </w:rPr>
                <m:t>t</m:t>
              </m:r>
            </m:sub>
          </m:sSub>
          <m:r>
            <w:rPr>
              <w:rFonts w:ascii="Cambria Math" w:eastAsia="SimSun" w:hAnsi="Cambria Math"/>
              <w:lang w:val="es-ES"/>
            </w:rPr>
            <m:t>=</m:t>
          </m:r>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lang w:val="es-ES"/>
                </w:rPr>
                <m:t>0</m:t>
              </m:r>
            </m:sub>
          </m:sSub>
          <m:r>
            <w:rPr>
              <w:rFonts w:ascii="Cambria Math" w:eastAsia="SimSun" w:hAnsi="Cambria Math"/>
              <w:lang w:val="es-ES"/>
            </w:rPr>
            <m:t>+</m:t>
          </m:r>
          <m:sSub>
            <m:sSubPr>
              <m:ctrlPr>
                <w:rPr>
                  <w:rFonts w:ascii="Cambria Math" w:eastAsia="SimSun" w:hAnsi="Cambria Math"/>
                  <w:i/>
                </w:rPr>
              </m:ctrlPr>
            </m:sSubPr>
            <m:e>
              <m:r>
                <w:rPr>
                  <w:rFonts w:ascii="Cambria Math" w:eastAsia="SimSun" w:hAnsi="Cambria Math"/>
                </w:rPr>
                <m:t>α</m:t>
              </m:r>
            </m:e>
            <m:sub>
              <m:r>
                <w:rPr>
                  <w:rFonts w:ascii="Cambria Math" w:eastAsia="SimSun" w:hAnsi="Cambria Math"/>
                  <w:lang w:val="es-ES"/>
                </w:rPr>
                <m:t>1</m:t>
              </m:r>
            </m:sub>
          </m:sSub>
          <m:r>
            <w:rPr>
              <w:rFonts w:ascii="Cambria Math" w:eastAsia="SimSun" w:hAnsi="Cambria Math"/>
            </w:rPr>
            <m:t>IVI</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t</m:t>
              </m:r>
              <m:r>
                <w:rPr>
                  <w:rFonts w:ascii="Cambria Math" w:eastAsia="SimSun" w:hAnsi="Cambria Math"/>
                  <w:lang w:val="es-ES"/>
                </w:rPr>
                <m:t>-1</m:t>
              </m:r>
            </m:sub>
          </m:sSub>
          <m:r>
            <w:rPr>
              <w:rFonts w:ascii="Cambria Math" w:eastAsia="SimSun" w:hAnsi="Cambria Math"/>
              <w:lang w:val="es-ES"/>
            </w:rPr>
            <m:t>+</m:t>
          </m:r>
          <m:sSub>
            <m:sSubPr>
              <m:ctrlPr>
                <w:rPr>
                  <w:rFonts w:ascii="Cambria Math" w:eastAsia="SimSun" w:hAnsi="Cambria Math"/>
                  <w:i/>
                </w:rPr>
              </m:ctrlPr>
            </m:sSubPr>
            <m:e>
              <m:r>
                <w:rPr>
                  <w:rFonts w:ascii="Cambria Math" w:eastAsia="SimSun" w:hAnsi="Cambria Math"/>
                </w:rPr>
                <m:t>ϵ</m:t>
              </m:r>
            </m:e>
            <m:sub>
              <m:r>
                <w:rPr>
                  <w:rFonts w:ascii="Cambria Math" w:eastAsia="SimSun" w:hAnsi="Cambria Math"/>
                </w:rPr>
                <m:t>t</m:t>
              </m:r>
            </m:sub>
          </m:sSub>
        </m:oMath>
      </m:oMathPara>
    </w:p>
    <w:p w:rsidR="005B77DF" w:rsidRPr="00C71655" w:rsidRDefault="005B77DF" w:rsidP="00EC6736">
      <w:pPr>
        <w:spacing w:line="480" w:lineRule="auto"/>
        <w:rPr>
          <w:rFonts w:eastAsia="SimSun"/>
          <w:lang w:val="es-ES"/>
        </w:rPr>
      </w:pPr>
      <w:r w:rsidRPr="00C71655">
        <w:rPr>
          <w:rFonts w:eastAsia="SimSun"/>
        </w:rPr>
        <w:t>Model 2:</w:t>
      </w:r>
    </w:p>
    <w:p w:rsidR="004157E4" w:rsidRPr="00C71655" w:rsidRDefault="0087272B" w:rsidP="00EC6736">
      <w:pPr>
        <w:spacing w:line="480" w:lineRule="auto"/>
        <w:rPr>
          <w:rFonts w:eastAsia="SimSun"/>
        </w:rPr>
      </w:pPr>
      <m:oMathPara>
        <m:oMath>
          <m:sSub>
            <m:sSubPr>
              <m:ctrlPr>
                <w:rPr>
                  <w:rFonts w:ascii="Cambria Math" w:eastAsia="SimSun" w:hAnsi="Cambria Math"/>
                </w:rPr>
              </m:ctrlPr>
            </m:sSubPr>
            <m:e>
              <m:r>
                <m:rPr>
                  <m:sty m:val="p"/>
                </m:rPr>
                <w:rPr>
                  <w:rFonts w:ascii="Cambria Math" w:eastAsia="SimSun" w:hAnsi="Cambria Math"/>
                </w:rPr>
                <m:t>RV</m:t>
              </m:r>
            </m:e>
            <m:sub>
              <m:r>
                <m:rPr>
                  <m:sty m:val="p"/>
                </m:rPr>
                <w:rPr>
                  <w:rFonts w:ascii="Cambria Math" w:eastAsia="SimSun" w:hAnsi="Cambria Math"/>
                </w:rPr>
                <m:t>t</m:t>
              </m:r>
            </m:sub>
          </m:sSub>
          <m:r>
            <w:rPr>
              <w:rFonts w:ascii="Cambria Math" w:eastAsia="SimSun" w:hAnsi="Cambria Math"/>
            </w:rPr>
            <m:t>=</m:t>
          </m:r>
          <m:sSub>
            <m:sSubPr>
              <m:ctrlPr>
                <w:rPr>
                  <w:rFonts w:ascii="Cambria Math" w:eastAsia="SimSun" w:hAnsi="Cambria Math"/>
                </w:rPr>
              </m:ctrlPr>
            </m:sSubPr>
            <m:e>
              <m:r>
                <m:rPr>
                  <m:sty m:val="p"/>
                </m:rPr>
                <w:rPr>
                  <w:rFonts w:ascii="Cambria Math" w:eastAsia="SimSun" w:hAnsi="Cambria Math"/>
                </w:rPr>
                <m:t>β</m:t>
              </m:r>
            </m:e>
            <m:sub>
              <m:r>
                <m:rPr>
                  <m:sty m:val="p"/>
                </m:rP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β</m:t>
              </m:r>
            </m:e>
            <m:sub>
              <m:r>
                <w:rPr>
                  <w:rFonts w:ascii="Cambria Math" w:eastAsia="SimSun" w:hAnsi="Cambria Math"/>
                </w:rPr>
                <m:t>1</m:t>
              </m:r>
            </m:sub>
          </m:sSub>
          <m:r>
            <w:rPr>
              <w:rFonts w:ascii="Cambria Math" w:eastAsia="SimSun" w:hAnsi="Cambria Math"/>
            </w:rPr>
            <m:t>GARC</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ϵ</m:t>
              </m:r>
            </m:e>
            <m:sub>
              <m:r>
                <w:rPr>
                  <w:rFonts w:ascii="Cambria Math" w:eastAsia="SimSun" w:hAnsi="Cambria Math"/>
                </w:rPr>
                <m:t>t</m:t>
              </m:r>
            </m:sub>
          </m:sSub>
        </m:oMath>
      </m:oMathPara>
    </w:p>
    <w:p w:rsidR="004E3925" w:rsidRPr="00C71655" w:rsidRDefault="004E3925" w:rsidP="004157E4">
      <w:pPr>
        <w:rPr>
          <w:rFonts w:eastAsia="SimSun"/>
        </w:rPr>
      </w:pPr>
    </w:p>
    <w:p w:rsidR="004E3925" w:rsidRPr="00C71655" w:rsidRDefault="004E3925" w:rsidP="004157E4">
      <w:pPr>
        <w:rPr>
          <w:rFonts w:eastAsia="SimSun"/>
        </w:rPr>
      </w:pPr>
    </w:p>
    <w:tbl>
      <w:tblPr>
        <w:tblStyle w:val="TableGrid"/>
        <w:tblW w:w="0" w:type="auto"/>
        <w:tblLayout w:type="fixed"/>
        <w:tblLook w:val="04A0" w:firstRow="1" w:lastRow="0" w:firstColumn="1" w:lastColumn="0" w:noHBand="0" w:noVBand="1"/>
      </w:tblPr>
      <w:tblGrid>
        <w:gridCol w:w="2263"/>
        <w:gridCol w:w="1276"/>
        <w:gridCol w:w="1701"/>
        <w:gridCol w:w="1515"/>
        <w:gridCol w:w="2255"/>
      </w:tblGrid>
      <w:tr w:rsidR="004E3925" w:rsidRPr="00C71655" w:rsidTr="00CF653E">
        <w:trPr>
          <w:trHeight w:val="611"/>
        </w:trPr>
        <w:tc>
          <w:tcPr>
            <w:tcW w:w="2263" w:type="dxa"/>
            <w:shd w:val="clear" w:color="auto" w:fill="AEAAAA" w:themeFill="background2" w:themeFillShade="BF"/>
          </w:tcPr>
          <w:p w:rsidR="004E3925" w:rsidRPr="00C71655" w:rsidRDefault="004E3925" w:rsidP="004157E4">
            <w:pPr>
              <w:rPr>
                <w:rFonts w:eastAsia="SimSun"/>
              </w:rPr>
            </w:pPr>
            <w:r w:rsidRPr="00C71655">
              <w:rPr>
                <w:rFonts w:eastAsia="SimSun"/>
              </w:rPr>
              <w:lastRenderedPageBreak/>
              <w:t>Dependent Variable</w:t>
            </w:r>
          </w:p>
        </w:tc>
        <w:tc>
          <w:tcPr>
            <w:tcW w:w="1276" w:type="dxa"/>
            <w:shd w:val="clear" w:color="auto" w:fill="AEAAAA" w:themeFill="background2" w:themeFillShade="BF"/>
          </w:tcPr>
          <w:p w:rsidR="004E3925" w:rsidRPr="00C71655" w:rsidRDefault="004E3925" w:rsidP="004157E4">
            <w:pPr>
              <w:rPr>
                <w:rFonts w:eastAsia="SimSun"/>
              </w:rPr>
            </w:pPr>
            <w:r w:rsidRPr="00C71655">
              <w:rPr>
                <w:rFonts w:eastAsia="SimSun"/>
              </w:rPr>
              <w:t>Constant</w:t>
            </w:r>
          </w:p>
        </w:tc>
        <w:tc>
          <w:tcPr>
            <w:tcW w:w="1701" w:type="dxa"/>
            <w:shd w:val="clear" w:color="auto" w:fill="AEAAAA" w:themeFill="background2" w:themeFillShade="BF"/>
          </w:tcPr>
          <w:p w:rsidR="004E3925" w:rsidRPr="00C71655" w:rsidRDefault="004E3925" w:rsidP="004157E4">
            <w:pPr>
              <w:rPr>
                <w:rFonts w:eastAsia="SimSun"/>
              </w:rPr>
            </w:pPr>
            <w:r w:rsidRPr="00C71655">
              <w:rPr>
                <w:rFonts w:eastAsia="SimSun"/>
              </w:rPr>
              <w:t>Coefficient</w:t>
            </w:r>
          </w:p>
        </w:tc>
        <w:tc>
          <w:tcPr>
            <w:tcW w:w="1515" w:type="dxa"/>
            <w:shd w:val="clear" w:color="auto" w:fill="AEAAAA" w:themeFill="background2" w:themeFillShade="BF"/>
          </w:tcPr>
          <w:p w:rsidR="004E3925" w:rsidRPr="00C71655" w:rsidRDefault="004E3925" w:rsidP="004157E4">
            <w:pPr>
              <w:rPr>
                <w:rFonts w:eastAsia="SimSun"/>
              </w:rPr>
            </w:pPr>
            <w:r w:rsidRPr="00C71655">
              <w:rPr>
                <w:rFonts w:eastAsia="SimSun"/>
              </w:rPr>
              <w:t>P-value</w:t>
            </w:r>
          </w:p>
        </w:tc>
        <w:tc>
          <w:tcPr>
            <w:tcW w:w="2255" w:type="dxa"/>
            <w:shd w:val="clear" w:color="auto" w:fill="AEAAAA" w:themeFill="background2" w:themeFillShade="BF"/>
          </w:tcPr>
          <w:p w:rsidR="004E3925" w:rsidRPr="00C71655" w:rsidRDefault="004E3925" w:rsidP="004157E4">
            <w:pPr>
              <w:rPr>
                <w:rFonts w:eastAsia="SimSun"/>
              </w:rPr>
            </w:pPr>
            <w:r w:rsidRPr="00C71655">
              <w:rPr>
                <w:rFonts w:eastAsia="SimSun"/>
              </w:rPr>
              <w:t>Adj. R square</w:t>
            </w:r>
          </w:p>
        </w:tc>
      </w:tr>
      <w:tr w:rsidR="004E3925" w:rsidRPr="00C71655" w:rsidTr="00EC6736">
        <w:trPr>
          <w:trHeight w:val="703"/>
        </w:trPr>
        <w:tc>
          <w:tcPr>
            <w:tcW w:w="2263" w:type="dxa"/>
          </w:tcPr>
          <w:p w:rsidR="004E3925" w:rsidRPr="00C71655" w:rsidRDefault="00E826A0" w:rsidP="004157E4">
            <w:pPr>
              <w:rPr>
                <w:rFonts w:eastAsia="SimSun"/>
              </w:rPr>
            </w:pPr>
            <w:r w:rsidRPr="00C71655">
              <w:rPr>
                <w:rFonts w:eastAsia="SimSun"/>
              </w:rPr>
              <w:t xml:space="preserve">Model1: </w:t>
            </w:r>
            <m:oMath>
              <m:r>
                <w:rPr>
                  <w:rFonts w:ascii="Cambria Math" w:eastAsia="SimSun" w:hAnsi="Cambria Math"/>
                </w:rPr>
                <m:t>IVI</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t</m:t>
                  </m:r>
                  <m:r>
                    <w:rPr>
                      <w:rFonts w:ascii="Cambria Math" w:eastAsia="SimSun" w:hAnsi="Cambria Math"/>
                      <w:lang w:val="es-ES"/>
                    </w:rPr>
                    <m:t>-1</m:t>
                  </m:r>
                </m:sub>
              </m:sSub>
            </m:oMath>
          </w:p>
        </w:tc>
        <w:tc>
          <w:tcPr>
            <w:tcW w:w="1276" w:type="dxa"/>
          </w:tcPr>
          <w:p w:rsidR="004E3925" w:rsidRPr="00C71655" w:rsidRDefault="00E826A0" w:rsidP="004157E4">
            <w:pPr>
              <w:rPr>
                <w:color w:val="000000"/>
              </w:rPr>
            </w:pPr>
            <w:r w:rsidRPr="00C71655">
              <w:rPr>
                <w:color w:val="000000"/>
              </w:rPr>
              <w:t>0.01161</w:t>
            </w:r>
          </w:p>
        </w:tc>
        <w:tc>
          <w:tcPr>
            <w:tcW w:w="1701" w:type="dxa"/>
          </w:tcPr>
          <w:p w:rsidR="004E3925" w:rsidRPr="00C71655" w:rsidRDefault="00E826A0" w:rsidP="004157E4">
            <w:pPr>
              <w:rPr>
                <w:color w:val="000000"/>
              </w:rPr>
            </w:pPr>
            <w:r w:rsidRPr="00C71655">
              <w:rPr>
                <w:color w:val="000000"/>
              </w:rPr>
              <w:t>1.40113978</w:t>
            </w:r>
          </w:p>
        </w:tc>
        <w:tc>
          <w:tcPr>
            <w:tcW w:w="1515" w:type="dxa"/>
            <w:shd w:val="clear" w:color="auto" w:fill="FFC000"/>
          </w:tcPr>
          <w:p w:rsidR="00E826A0" w:rsidRPr="00C71655" w:rsidRDefault="00E826A0" w:rsidP="00E826A0">
            <w:pPr>
              <w:rPr>
                <w:color w:val="000000"/>
              </w:rPr>
            </w:pPr>
            <w:r w:rsidRPr="00C71655">
              <w:rPr>
                <w:color w:val="000000"/>
              </w:rPr>
              <w:t>3.2593E-15</w:t>
            </w:r>
          </w:p>
          <w:p w:rsidR="004E3925" w:rsidRPr="00C71655" w:rsidRDefault="004E3925" w:rsidP="004157E4">
            <w:pPr>
              <w:rPr>
                <w:rFonts w:eastAsia="SimSun"/>
              </w:rPr>
            </w:pPr>
          </w:p>
        </w:tc>
        <w:tc>
          <w:tcPr>
            <w:tcW w:w="2255" w:type="dxa"/>
            <w:shd w:val="clear" w:color="auto" w:fill="FFC000"/>
          </w:tcPr>
          <w:p w:rsidR="004E3925" w:rsidRPr="00C71655" w:rsidRDefault="00E826A0" w:rsidP="004157E4">
            <w:pPr>
              <w:rPr>
                <w:rFonts w:eastAsia="SimSun"/>
              </w:rPr>
            </w:pPr>
            <w:r w:rsidRPr="00C71655">
              <w:rPr>
                <w:rFonts w:eastAsia="SimSun"/>
              </w:rPr>
              <w:t>0.206971067497624</w:t>
            </w:r>
          </w:p>
        </w:tc>
      </w:tr>
      <w:tr w:rsidR="004E3925" w:rsidRPr="00C71655" w:rsidTr="00EC6736">
        <w:trPr>
          <w:trHeight w:val="842"/>
        </w:trPr>
        <w:tc>
          <w:tcPr>
            <w:tcW w:w="2263" w:type="dxa"/>
          </w:tcPr>
          <w:p w:rsidR="004E3925" w:rsidRPr="00C71655" w:rsidRDefault="00E826A0" w:rsidP="004157E4">
            <w:pPr>
              <w:rPr>
                <w:rFonts w:eastAsia="SimSun"/>
              </w:rPr>
            </w:pPr>
            <w:r w:rsidRPr="00C71655">
              <w:rPr>
                <w:rFonts w:eastAsia="SimSun"/>
              </w:rPr>
              <w:t xml:space="preserve">Model2: </w:t>
            </w:r>
            <m:oMath>
              <m:r>
                <w:rPr>
                  <w:rFonts w:ascii="Cambria Math" w:eastAsia="SimSun" w:hAnsi="Cambria Math"/>
                </w:rPr>
                <m:t>GARC</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t-1</m:t>
                  </m:r>
                </m:sub>
              </m:sSub>
            </m:oMath>
          </w:p>
        </w:tc>
        <w:tc>
          <w:tcPr>
            <w:tcW w:w="1276" w:type="dxa"/>
          </w:tcPr>
          <w:p w:rsidR="00E826A0" w:rsidRPr="00C71655" w:rsidRDefault="00E826A0" w:rsidP="00E826A0">
            <w:pPr>
              <w:rPr>
                <w:color w:val="000000"/>
              </w:rPr>
            </w:pPr>
            <w:r w:rsidRPr="00C71655">
              <w:rPr>
                <w:color w:val="000000"/>
              </w:rPr>
              <w:t>-0.007556</w:t>
            </w:r>
          </w:p>
          <w:p w:rsidR="004E3925" w:rsidRPr="00C71655" w:rsidRDefault="004E3925" w:rsidP="004157E4">
            <w:pPr>
              <w:rPr>
                <w:rFonts w:eastAsia="SimSun"/>
              </w:rPr>
            </w:pPr>
          </w:p>
        </w:tc>
        <w:tc>
          <w:tcPr>
            <w:tcW w:w="1701" w:type="dxa"/>
          </w:tcPr>
          <w:p w:rsidR="00E826A0" w:rsidRPr="00C71655" w:rsidRDefault="00E826A0" w:rsidP="00E826A0">
            <w:pPr>
              <w:rPr>
                <w:color w:val="000000"/>
              </w:rPr>
            </w:pPr>
            <w:r w:rsidRPr="00C71655">
              <w:rPr>
                <w:color w:val="000000"/>
              </w:rPr>
              <w:t>1.75997785</w:t>
            </w:r>
          </w:p>
          <w:p w:rsidR="004E3925" w:rsidRPr="00C71655" w:rsidRDefault="004E3925" w:rsidP="004157E4">
            <w:pPr>
              <w:rPr>
                <w:rFonts w:eastAsia="SimSun"/>
              </w:rPr>
            </w:pPr>
          </w:p>
        </w:tc>
        <w:tc>
          <w:tcPr>
            <w:tcW w:w="1515" w:type="dxa"/>
            <w:shd w:val="clear" w:color="auto" w:fill="FFC000"/>
          </w:tcPr>
          <w:p w:rsidR="00E826A0" w:rsidRPr="00C71655" w:rsidRDefault="00E826A0" w:rsidP="00E826A0">
            <w:pPr>
              <w:rPr>
                <w:color w:val="000000"/>
              </w:rPr>
            </w:pPr>
            <w:r w:rsidRPr="00C71655">
              <w:rPr>
                <w:color w:val="000000"/>
              </w:rPr>
              <w:t>2.3896E-09</w:t>
            </w:r>
          </w:p>
          <w:p w:rsidR="004E3925" w:rsidRPr="00C71655" w:rsidRDefault="004E3925" w:rsidP="004157E4">
            <w:pPr>
              <w:rPr>
                <w:rFonts w:eastAsia="SimSun"/>
              </w:rPr>
            </w:pPr>
          </w:p>
        </w:tc>
        <w:tc>
          <w:tcPr>
            <w:tcW w:w="2255" w:type="dxa"/>
            <w:shd w:val="clear" w:color="auto" w:fill="FFC000"/>
          </w:tcPr>
          <w:p w:rsidR="004E3925" w:rsidRPr="00C71655" w:rsidRDefault="00E826A0" w:rsidP="004157E4">
            <w:pPr>
              <w:rPr>
                <w:rFonts w:eastAsia="SimSun"/>
              </w:rPr>
            </w:pPr>
            <w:r w:rsidRPr="00C71655">
              <w:rPr>
                <w:rFonts w:eastAsia="SimSun"/>
              </w:rPr>
              <w:t>0.12315302934213</w:t>
            </w:r>
          </w:p>
        </w:tc>
      </w:tr>
    </w:tbl>
    <w:p w:rsidR="004157E4" w:rsidRPr="00C71655" w:rsidRDefault="004157E4" w:rsidP="004157E4">
      <w:pPr>
        <w:rPr>
          <w:rFonts w:eastAsia="SimSun"/>
        </w:rPr>
      </w:pPr>
    </w:p>
    <w:p w:rsidR="00630FEE" w:rsidRPr="00C71655" w:rsidRDefault="00CB5084" w:rsidP="00B56219">
      <w:pPr>
        <w:spacing w:line="480" w:lineRule="auto"/>
        <w:ind w:firstLine="720"/>
        <w:rPr>
          <w:rFonts w:eastAsia="SimSun"/>
        </w:rPr>
      </w:pPr>
      <w:r w:rsidRPr="00C71655">
        <w:rPr>
          <w:rFonts w:eastAsia="SimSun"/>
        </w:rPr>
        <w:t xml:space="preserve">From the regression result, coefficients for the lagged dependent variable in both models </w:t>
      </w:r>
      <w:r w:rsidR="008722A5" w:rsidRPr="00C71655">
        <w:rPr>
          <w:rFonts w:eastAsia="SimSun"/>
        </w:rPr>
        <w:t>are</w:t>
      </w:r>
      <w:r w:rsidRPr="00C71655">
        <w:rPr>
          <w:rFonts w:eastAsia="SimSun"/>
        </w:rPr>
        <w:t xml:space="preserve"> significant with small p-value. It indicates that IVIX and GARCH(1,1) estimate both ha</w:t>
      </w:r>
      <w:r w:rsidR="008722A5" w:rsidRPr="00C71655">
        <w:rPr>
          <w:rFonts w:eastAsia="SimSun"/>
        </w:rPr>
        <w:t>ve</w:t>
      </w:r>
      <w:r w:rsidRPr="00C71655">
        <w:rPr>
          <w:rFonts w:eastAsia="SimSun"/>
        </w:rPr>
        <w:t xml:space="preserve"> predictive power</w:t>
      </w:r>
      <w:r w:rsidR="00462867" w:rsidRPr="00C71655">
        <w:rPr>
          <w:rFonts w:eastAsia="SimSun"/>
        </w:rPr>
        <w:t>, corresponding to other literature. Regarding the adjusted R square, lagged IVIX model</w:t>
      </w:r>
      <w:r w:rsidR="00630FEE" w:rsidRPr="00C71655">
        <w:rPr>
          <w:rFonts w:eastAsia="SimSun"/>
        </w:rPr>
        <w:t xml:space="preserve"> has higher adjusted R-square comparing to lagged GARCH model, suggesting that </w:t>
      </w:r>
      <w:r w:rsidR="00E826A0" w:rsidRPr="00C71655">
        <w:rPr>
          <w:rFonts w:eastAsia="SimSun"/>
        </w:rPr>
        <w:t>the first model captures more information about future realized volatility than the second model</w:t>
      </w:r>
      <w:r w:rsidR="00630FEE" w:rsidRPr="00C71655">
        <w:rPr>
          <w:rFonts w:eastAsia="SimSun"/>
        </w:rPr>
        <w:t xml:space="preserve">. We </w:t>
      </w:r>
      <w:r w:rsidR="00B56219">
        <w:rPr>
          <w:rFonts w:eastAsia="SimSun"/>
        </w:rPr>
        <w:t xml:space="preserve">further </w:t>
      </w:r>
      <w:r w:rsidR="00630FEE" w:rsidRPr="00C71655">
        <w:rPr>
          <w:rFonts w:eastAsia="SimSun"/>
        </w:rPr>
        <w:t xml:space="preserve">use them in the same regression model </w:t>
      </w:r>
      <w:r w:rsidR="008722A5" w:rsidRPr="00C71655">
        <w:rPr>
          <w:rFonts w:eastAsia="SimSun"/>
        </w:rPr>
        <w:t>and</w:t>
      </w:r>
      <w:r w:rsidR="00630FEE" w:rsidRPr="00C71655">
        <w:rPr>
          <w:rFonts w:eastAsia="SimSun"/>
        </w:rPr>
        <w:t xml:space="preserve"> compare their contributions to future realized volatility. The regression model and result </w:t>
      </w:r>
      <w:r w:rsidR="008722A5" w:rsidRPr="00C71655">
        <w:rPr>
          <w:rFonts w:eastAsia="SimSun"/>
        </w:rPr>
        <w:t>are</w:t>
      </w:r>
      <w:r w:rsidR="00630FEE" w:rsidRPr="00C71655">
        <w:rPr>
          <w:rFonts w:eastAsia="SimSun"/>
        </w:rPr>
        <w:t xml:space="preserve"> presented below.</w:t>
      </w:r>
    </w:p>
    <w:p w:rsidR="005B77DF" w:rsidRPr="00C71655" w:rsidRDefault="005B77DF" w:rsidP="00EC6736">
      <w:pPr>
        <w:spacing w:line="480" w:lineRule="auto"/>
        <w:rPr>
          <w:rFonts w:eastAsia="SimSun"/>
        </w:rPr>
      </w:pPr>
      <w:r w:rsidRPr="00C71655">
        <w:rPr>
          <w:rFonts w:eastAsia="SimSun"/>
        </w:rPr>
        <w:t>Model 3:</w:t>
      </w:r>
    </w:p>
    <w:p w:rsidR="00630FEE" w:rsidRPr="00C71655" w:rsidRDefault="0087272B" w:rsidP="00630FEE">
      <w:pPr>
        <w:spacing w:line="480" w:lineRule="auto"/>
        <w:rPr>
          <w:rFonts w:eastAsia="SimSun"/>
        </w:rPr>
      </w:pPr>
      <m:oMathPara>
        <m:oMath>
          <m:sSub>
            <m:sSubPr>
              <m:ctrlPr>
                <w:rPr>
                  <w:rFonts w:ascii="Cambria Math" w:eastAsia="SimSun" w:hAnsi="Cambria Math"/>
                </w:rPr>
              </m:ctrlPr>
            </m:sSubPr>
            <m:e>
              <m:r>
                <m:rPr>
                  <m:sty m:val="p"/>
                </m:rPr>
                <w:rPr>
                  <w:rFonts w:ascii="Cambria Math" w:eastAsia="SimSun" w:hAnsi="Cambria Math"/>
                </w:rPr>
                <m:t>RV</m:t>
              </m:r>
            </m:e>
            <m:sub>
              <m:r>
                <m:rPr>
                  <m:sty m:val="p"/>
                </m:rPr>
                <w:rPr>
                  <w:rFonts w:ascii="Cambria Math" w:eastAsia="SimSun" w:hAnsi="Cambria Math"/>
                </w:rPr>
                <m:t>t</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γ</m:t>
              </m:r>
            </m:e>
            <m:sub>
              <m:r>
                <w:rPr>
                  <w:rFonts w:ascii="Cambria Math" w:eastAsia="SimSun" w:hAnsi="Cambria Math"/>
                </w:rPr>
                <m:t>0</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γ</m:t>
              </m:r>
            </m:e>
            <m:sub>
              <m:r>
                <w:rPr>
                  <w:rFonts w:ascii="Cambria Math" w:eastAsia="SimSun" w:hAnsi="Cambria Math"/>
                </w:rPr>
                <m:t>1</m:t>
              </m:r>
            </m:sub>
          </m:sSub>
          <m:r>
            <w:rPr>
              <w:rFonts w:ascii="Cambria Math" w:eastAsia="SimSun" w:hAnsi="Cambria Math"/>
            </w:rPr>
            <m:t>IVI</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γ</m:t>
              </m:r>
            </m:e>
            <m:sub>
              <m:r>
                <w:rPr>
                  <w:rFonts w:ascii="Cambria Math" w:eastAsia="SimSun" w:hAnsi="Cambria Math"/>
                </w:rPr>
                <m:t>2</m:t>
              </m:r>
            </m:sub>
          </m:sSub>
          <m:r>
            <w:rPr>
              <w:rFonts w:ascii="Cambria Math" w:eastAsia="SimSun" w:hAnsi="Cambria Math"/>
            </w:rPr>
            <m:t>GARC</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t-1</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ϵ</m:t>
              </m:r>
            </m:e>
            <m:sub>
              <m:r>
                <w:rPr>
                  <w:rFonts w:ascii="Cambria Math" w:eastAsia="SimSun" w:hAnsi="Cambria Math"/>
                </w:rPr>
                <m:t>t</m:t>
              </m:r>
            </m:sub>
          </m:sSub>
        </m:oMath>
      </m:oMathPara>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1813"/>
        <w:gridCol w:w="1814"/>
        <w:gridCol w:w="1813"/>
        <w:gridCol w:w="1814"/>
      </w:tblGrid>
      <w:tr w:rsidR="00630FEE" w:rsidRPr="00C71655" w:rsidTr="00630FEE">
        <w:trPr>
          <w:trHeight w:val="320"/>
        </w:trPr>
        <w:tc>
          <w:tcPr>
            <w:tcW w:w="1813" w:type="dxa"/>
            <w:shd w:val="clear" w:color="auto" w:fill="AEAAAA" w:themeFill="background2" w:themeFillShade="BF"/>
            <w:noWrap/>
            <w:vAlign w:val="bottom"/>
            <w:hideMark/>
          </w:tcPr>
          <w:p w:rsidR="00630FEE" w:rsidRPr="00C71655" w:rsidRDefault="00630FEE" w:rsidP="00630FEE">
            <w:pPr>
              <w:jc w:val="center"/>
              <w:rPr>
                <w:i/>
                <w:iCs/>
                <w:color w:val="000000"/>
              </w:rPr>
            </w:pPr>
          </w:p>
        </w:tc>
        <w:tc>
          <w:tcPr>
            <w:tcW w:w="1813" w:type="dxa"/>
            <w:shd w:val="clear" w:color="auto" w:fill="AEAAAA" w:themeFill="background2" w:themeFillShade="BF"/>
            <w:noWrap/>
            <w:vAlign w:val="bottom"/>
            <w:hideMark/>
          </w:tcPr>
          <w:p w:rsidR="00630FEE" w:rsidRPr="00C71655" w:rsidRDefault="00630FEE" w:rsidP="00630FEE">
            <w:pPr>
              <w:jc w:val="center"/>
              <w:rPr>
                <w:i/>
                <w:iCs/>
                <w:color w:val="000000"/>
              </w:rPr>
            </w:pPr>
            <w:r w:rsidRPr="00C71655">
              <w:rPr>
                <w:i/>
                <w:iCs/>
                <w:color w:val="000000"/>
              </w:rPr>
              <w:t>Coefficients</w:t>
            </w:r>
          </w:p>
        </w:tc>
        <w:tc>
          <w:tcPr>
            <w:tcW w:w="1814" w:type="dxa"/>
            <w:shd w:val="clear" w:color="auto" w:fill="AEAAAA" w:themeFill="background2" w:themeFillShade="BF"/>
            <w:noWrap/>
            <w:vAlign w:val="bottom"/>
            <w:hideMark/>
          </w:tcPr>
          <w:p w:rsidR="00630FEE" w:rsidRPr="00C71655" w:rsidRDefault="00630FEE" w:rsidP="00630FEE">
            <w:pPr>
              <w:jc w:val="center"/>
              <w:rPr>
                <w:i/>
                <w:iCs/>
                <w:color w:val="000000"/>
              </w:rPr>
            </w:pPr>
            <w:r w:rsidRPr="00C71655">
              <w:rPr>
                <w:i/>
                <w:iCs/>
                <w:color w:val="000000"/>
              </w:rPr>
              <w:t>Standard Error</w:t>
            </w:r>
          </w:p>
        </w:tc>
        <w:tc>
          <w:tcPr>
            <w:tcW w:w="1813" w:type="dxa"/>
            <w:shd w:val="clear" w:color="auto" w:fill="AEAAAA" w:themeFill="background2" w:themeFillShade="BF"/>
            <w:noWrap/>
            <w:vAlign w:val="bottom"/>
            <w:hideMark/>
          </w:tcPr>
          <w:p w:rsidR="00630FEE" w:rsidRPr="00C71655" w:rsidRDefault="00630FEE" w:rsidP="00630FEE">
            <w:pPr>
              <w:jc w:val="center"/>
              <w:rPr>
                <w:i/>
                <w:iCs/>
                <w:color w:val="000000"/>
              </w:rPr>
            </w:pPr>
            <w:r w:rsidRPr="00C71655">
              <w:rPr>
                <w:i/>
                <w:iCs/>
                <w:color w:val="000000"/>
              </w:rPr>
              <w:t>t Stat</w:t>
            </w:r>
          </w:p>
        </w:tc>
        <w:tc>
          <w:tcPr>
            <w:tcW w:w="1814" w:type="dxa"/>
            <w:shd w:val="clear" w:color="auto" w:fill="AEAAAA" w:themeFill="background2" w:themeFillShade="BF"/>
            <w:noWrap/>
            <w:vAlign w:val="bottom"/>
            <w:hideMark/>
          </w:tcPr>
          <w:p w:rsidR="00630FEE" w:rsidRPr="00C71655" w:rsidRDefault="00630FEE" w:rsidP="00630FEE">
            <w:pPr>
              <w:jc w:val="center"/>
              <w:rPr>
                <w:i/>
                <w:iCs/>
                <w:color w:val="000000"/>
              </w:rPr>
            </w:pPr>
            <w:r w:rsidRPr="00C71655">
              <w:rPr>
                <w:i/>
                <w:iCs/>
                <w:color w:val="000000"/>
              </w:rPr>
              <w:t>P-value</w:t>
            </w:r>
          </w:p>
        </w:tc>
      </w:tr>
      <w:tr w:rsidR="00630FEE" w:rsidRPr="00C71655" w:rsidTr="00630FEE">
        <w:trPr>
          <w:trHeight w:val="320"/>
        </w:trPr>
        <w:tc>
          <w:tcPr>
            <w:tcW w:w="1813" w:type="dxa"/>
            <w:shd w:val="clear" w:color="auto" w:fill="auto"/>
            <w:noWrap/>
            <w:vAlign w:val="bottom"/>
            <w:hideMark/>
          </w:tcPr>
          <w:p w:rsidR="00630FEE" w:rsidRPr="00C71655" w:rsidRDefault="00630FEE" w:rsidP="00630FEE">
            <w:pPr>
              <w:jc w:val="center"/>
              <w:rPr>
                <w:color w:val="000000"/>
              </w:rPr>
            </w:pPr>
            <w:r w:rsidRPr="00C71655">
              <w:rPr>
                <w:color w:val="000000"/>
              </w:rPr>
              <w:t>Intercept</w:t>
            </w:r>
          </w:p>
        </w:tc>
        <w:tc>
          <w:tcPr>
            <w:tcW w:w="1813" w:type="dxa"/>
            <w:shd w:val="clear" w:color="auto" w:fill="auto"/>
            <w:noWrap/>
            <w:vAlign w:val="bottom"/>
            <w:hideMark/>
          </w:tcPr>
          <w:p w:rsidR="00630FEE" w:rsidRPr="00C71655" w:rsidRDefault="00630FEE" w:rsidP="00630FEE">
            <w:pPr>
              <w:jc w:val="center"/>
              <w:rPr>
                <w:color w:val="000000"/>
              </w:rPr>
            </w:pPr>
            <w:r w:rsidRPr="00C71655">
              <w:rPr>
                <w:color w:val="000000"/>
              </w:rPr>
              <w:t>-0.0511654</w:t>
            </w:r>
          </w:p>
        </w:tc>
        <w:tc>
          <w:tcPr>
            <w:tcW w:w="1814" w:type="dxa"/>
            <w:shd w:val="clear" w:color="auto" w:fill="auto"/>
            <w:noWrap/>
            <w:vAlign w:val="bottom"/>
            <w:hideMark/>
          </w:tcPr>
          <w:p w:rsidR="00630FEE" w:rsidRPr="00C71655" w:rsidRDefault="00630FEE" w:rsidP="00630FEE">
            <w:pPr>
              <w:jc w:val="center"/>
              <w:rPr>
                <w:color w:val="000000"/>
              </w:rPr>
            </w:pPr>
            <w:r w:rsidRPr="00C71655">
              <w:rPr>
                <w:color w:val="000000"/>
              </w:rPr>
              <w:t>0.03175707</w:t>
            </w:r>
          </w:p>
        </w:tc>
        <w:tc>
          <w:tcPr>
            <w:tcW w:w="1813" w:type="dxa"/>
            <w:shd w:val="clear" w:color="auto" w:fill="auto"/>
            <w:noWrap/>
            <w:vAlign w:val="bottom"/>
            <w:hideMark/>
          </w:tcPr>
          <w:p w:rsidR="00630FEE" w:rsidRPr="00C71655" w:rsidRDefault="00630FEE" w:rsidP="00630FEE">
            <w:pPr>
              <w:jc w:val="center"/>
              <w:rPr>
                <w:color w:val="000000"/>
              </w:rPr>
            </w:pPr>
            <w:r w:rsidRPr="00C71655">
              <w:rPr>
                <w:color w:val="000000"/>
              </w:rPr>
              <w:t>-1.6111483</w:t>
            </w:r>
          </w:p>
        </w:tc>
        <w:tc>
          <w:tcPr>
            <w:tcW w:w="1814" w:type="dxa"/>
            <w:shd w:val="clear" w:color="auto" w:fill="auto"/>
            <w:noWrap/>
            <w:vAlign w:val="bottom"/>
            <w:hideMark/>
          </w:tcPr>
          <w:p w:rsidR="00630FEE" w:rsidRPr="00C71655" w:rsidRDefault="00630FEE" w:rsidP="00630FEE">
            <w:pPr>
              <w:jc w:val="center"/>
              <w:rPr>
                <w:color w:val="000000"/>
              </w:rPr>
            </w:pPr>
            <w:r w:rsidRPr="00C71655">
              <w:rPr>
                <w:color w:val="000000"/>
              </w:rPr>
              <w:t>0.10834685</w:t>
            </w:r>
          </w:p>
        </w:tc>
      </w:tr>
      <w:tr w:rsidR="00630FEE" w:rsidRPr="00C71655" w:rsidTr="00630FEE">
        <w:trPr>
          <w:trHeight w:val="320"/>
        </w:trPr>
        <w:tc>
          <w:tcPr>
            <w:tcW w:w="1813" w:type="dxa"/>
            <w:shd w:val="clear" w:color="auto" w:fill="auto"/>
            <w:noWrap/>
            <w:vAlign w:val="bottom"/>
            <w:hideMark/>
          </w:tcPr>
          <w:p w:rsidR="00630FEE" w:rsidRPr="00C71655" w:rsidRDefault="00630FEE" w:rsidP="00630FEE">
            <w:pPr>
              <w:jc w:val="center"/>
              <w:rPr>
                <w:color w:val="000000"/>
              </w:rPr>
            </w:pPr>
            <m:oMathPara>
              <m:oMath>
                <m:r>
                  <w:rPr>
                    <w:rFonts w:ascii="Cambria Math" w:eastAsia="SimSun" w:hAnsi="Cambria Math"/>
                  </w:rPr>
                  <m:t>IVI</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t-1</m:t>
                    </m:r>
                  </m:sub>
                </m:sSub>
              </m:oMath>
            </m:oMathPara>
          </w:p>
        </w:tc>
        <w:tc>
          <w:tcPr>
            <w:tcW w:w="1813" w:type="dxa"/>
            <w:shd w:val="clear" w:color="auto" w:fill="FFC000"/>
            <w:noWrap/>
            <w:vAlign w:val="bottom"/>
            <w:hideMark/>
          </w:tcPr>
          <w:p w:rsidR="00630FEE" w:rsidRPr="00C71655" w:rsidRDefault="00630FEE" w:rsidP="00630FEE">
            <w:pPr>
              <w:jc w:val="center"/>
              <w:rPr>
                <w:color w:val="000000"/>
              </w:rPr>
            </w:pPr>
            <w:r w:rsidRPr="00C71655">
              <w:rPr>
                <w:color w:val="000000"/>
              </w:rPr>
              <w:t>1.14300904</w:t>
            </w:r>
          </w:p>
        </w:tc>
        <w:tc>
          <w:tcPr>
            <w:tcW w:w="1814" w:type="dxa"/>
            <w:shd w:val="clear" w:color="auto" w:fill="auto"/>
            <w:noWrap/>
            <w:vAlign w:val="bottom"/>
            <w:hideMark/>
          </w:tcPr>
          <w:p w:rsidR="00630FEE" w:rsidRPr="00C71655" w:rsidRDefault="00630FEE" w:rsidP="00630FEE">
            <w:pPr>
              <w:jc w:val="center"/>
              <w:rPr>
                <w:color w:val="000000"/>
              </w:rPr>
            </w:pPr>
            <w:r w:rsidRPr="00C71655">
              <w:rPr>
                <w:color w:val="000000"/>
              </w:rPr>
              <w:t>0.19038354</w:t>
            </w:r>
          </w:p>
        </w:tc>
        <w:tc>
          <w:tcPr>
            <w:tcW w:w="1813" w:type="dxa"/>
            <w:shd w:val="clear" w:color="auto" w:fill="auto"/>
            <w:noWrap/>
            <w:vAlign w:val="bottom"/>
            <w:hideMark/>
          </w:tcPr>
          <w:p w:rsidR="00630FEE" w:rsidRPr="00C71655" w:rsidRDefault="00630FEE" w:rsidP="00630FEE">
            <w:pPr>
              <w:jc w:val="center"/>
              <w:rPr>
                <w:color w:val="000000"/>
              </w:rPr>
            </w:pPr>
            <w:r w:rsidRPr="00C71655">
              <w:rPr>
                <w:color w:val="000000"/>
              </w:rPr>
              <w:t>6.00371764</w:t>
            </w:r>
          </w:p>
        </w:tc>
        <w:tc>
          <w:tcPr>
            <w:tcW w:w="1814" w:type="dxa"/>
            <w:shd w:val="clear" w:color="auto" w:fill="auto"/>
            <w:noWrap/>
            <w:vAlign w:val="bottom"/>
            <w:hideMark/>
          </w:tcPr>
          <w:p w:rsidR="00630FEE" w:rsidRPr="00C71655" w:rsidRDefault="00630FEE" w:rsidP="00630FEE">
            <w:pPr>
              <w:jc w:val="center"/>
              <w:rPr>
                <w:color w:val="000000"/>
              </w:rPr>
            </w:pPr>
            <w:r w:rsidRPr="00C71655">
              <w:rPr>
                <w:color w:val="000000"/>
              </w:rPr>
              <w:t>6.3776E-09</w:t>
            </w:r>
          </w:p>
        </w:tc>
      </w:tr>
      <w:tr w:rsidR="00630FEE" w:rsidRPr="00C71655" w:rsidTr="00630FEE">
        <w:trPr>
          <w:trHeight w:val="340"/>
        </w:trPr>
        <w:tc>
          <w:tcPr>
            <w:tcW w:w="1813" w:type="dxa"/>
            <w:shd w:val="clear" w:color="auto" w:fill="auto"/>
            <w:noWrap/>
            <w:vAlign w:val="bottom"/>
            <w:hideMark/>
          </w:tcPr>
          <w:p w:rsidR="00630FEE" w:rsidRPr="00C71655" w:rsidRDefault="00630FEE" w:rsidP="00630FEE">
            <w:pPr>
              <w:jc w:val="center"/>
              <w:rPr>
                <w:color w:val="000000"/>
              </w:rPr>
            </w:pPr>
            <m:oMathPara>
              <m:oMath>
                <m:r>
                  <w:rPr>
                    <w:rFonts w:ascii="Cambria Math" w:eastAsia="SimSun" w:hAnsi="Cambria Math"/>
                  </w:rPr>
                  <m:t>GARC</m:t>
                </m:r>
                <m:sSub>
                  <m:sSubPr>
                    <m:ctrlPr>
                      <w:rPr>
                        <w:rFonts w:ascii="Cambria Math" w:eastAsia="SimSun" w:hAnsi="Cambria Math"/>
                        <w:i/>
                      </w:rPr>
                    </m:ctrlPr>
                  </m:sSubPr>
                  <m:e>
                    <m:r>
                      <w:rPr>
                        <w:rFonts w:ascii="Cambria Math" w:eastAsia="SimSun" w:hAnsi="Cambria Math"/>
                      </w:rPr>
                      <m:t>H</m:t>
                    </m:r>
                  </m:e>
                  <m:sub>
                    <m:r>
                      <w:rPr>
                        <w:rFonts w:ascii="Cambria Math" w:eastAsia="SimSun" w:hAnsi="Cambria Math"/>
                      </w:rPr>
                      <m:t>t-1</m:t>
                    </m:r>
                  </m:sub>
                </m:sSub>
              </m:oMath>
            </m:oMathPara>
          </w:p>
        </w:tc>
        <w:tc>
          <w:tcPr>
            <w:tcW w:w="1813" w:type="dxa"/>
            <w:shd w:val="clear" w:color="auto" w:fill="FFC000"/>
            <w:noWrap/>
            <w:vAlign w:val="bottom"/>
            <w:hideMark/>
          </w:tcPr>
          <w:p w:rsidR="00630FEE" w:rsidRPr="00C71655" w:rsidRDefault="00630FEE" w:rsidP="00630FEE">
            <w:pPr>
              <w:jc w:val="center"/>
              <w:rPr>
                <w:color w:val="000000"/>
              </w:rPr>
            </w:pPr>
            <w:r w:rsidRPr="00C71655">
              <w:rPr>
                <w:color w:val="000000"/>
              </w:rPr>
              <w:t>0.8415576</w:t>
            </w:r>
          </w:p>
        </w:tc>
        <w:tc>
          <w:tcPr>
            <w:tcW w:w="1814" w:type="dxa"/>
            <w:shd w:val="clear" w:color="auto" w:fill="auto"/>
            <w:noWrap/>
            <w:vAlign w:val="bottom"/>
            <w:hideMark/>
          </w:tcPr>
          <w:p w:rsidR="00630FEE" w:rsidRPr="00C71655" w:rsidRDefault="00630FEE" w:rsidP="00630FEE">
            <w:pPr>
              <w:jc w:val="center"/>
              <w:rPr>
                <w:color w:val="000000"/>
              </w:rPr>
            </w:pPr>
            <w:r w:rsidRPr="00C71655">
              <w:rPr>
                <w:color w:val="000000"/>
              </w:rPr>
              <w:t>0.30813948</w:t>
            </w:r>
          </w:p>
        </w:tc>
        <w:tc>
          <w:tcPr>
            <w:tcW w:w="1813" w:type="dxa"/>
            <w:shd w:val="clear" w:color="auto" w:fill="auto"/>
            <w:noWrap/>
            <w:vAlign w:val="bottom"/>
            <w:hideMark/>
          </w:tcPr>
          <w:p w:rsidR="00630FEE" w:rsidRPr="00C71655" w:rsidRDefault="00630FEE" w:rsidP="00630FEE">
            <w:pPr>
              <w:jc w:val="center"/>
              <w:rPr>
                <w:color w:val="000000"/>
              </w:rPr>
            </w:pPr>
            <w:r w:rsidRPr="00C71655">
              <w:rPr>
                <w:color w:val="000000"/>
              </w:rPr>
              <w:t>2.73109304</w:t>
            </w:r>
          </w:p>
        </w:tc>
        <w:tc>
          <w:tcPr>
            <w:tcW w:w="1814" w:type="dxa"/>
            <w:shd w:val="clear" w:color="auto" w:fill="auto"/>
            <w:noWrap/>
            <w:vAlign w:val="bottom"/>
            <w:hideMark/>
          </w:tcPr>
          <w:p w:rsidR="00630FEE" w:rsidRPr="00C71655" w:rsidRDefault="00630FEE" w:rsidP="00630FEE">
            <w:pPr>
              <w:jc w:val="center"/>
              <w:rPr>
                <w:color w:val="000000"/>
              </w:rPr>
            </w:pPr>
            <w:r w:rsidRPr="00C71655">
              <w:rPr>
                <w:color w:val="000000"/>
              </w:rPr>
              <w:t>0.00673948</w:t>
            </w:r>
          </w:p>
        </w:tc>
      </w:tr>
    </w:tbl>
    <w:p w:rsidR="00630FEE" w:rsidRPr="00C71655" w:rsidRDefault="00630FEE" w:rsidP="00EC6736">
      <w:pPr>
        <w:spacing w:line="480" w:lineRule="auto"/>
        <w:rPr>
          <w:rFonts w:eastAsia="SimSun"/>
        </w:rPr>
      </w:pPr>
    </w:p>
    <w:p w:rsidR="005B5124" w:rsidRDefault="00630FEE" w:rsidP="00B56219">
      <w:pPr>
        <w:spacing w:line="480" w:lineRule="auto"/>
        <w:ind w:firstLine="720"/>
        <w:rPr>
          <w:rFonts w:eastAsia="SimSun"/>
        </w:rPr>
      </w:pPr>
      <w:r w:rsidRPr="00C71655">
        <w:rPr>
          <w:rFonts w:eastAsia="SimSun"/>
        </w:rPr>
        <w:t xml:space="preserve">Since the three volatility measures are all annualized standard deviation of underlying asset, we could directly compare their coefficients and p-values. From the result, </w:t>
      </w:r>
      <w:r w:rsidR="00ED5B9E" w:rsidRPr="00C71655">
        <w:rPr>
          <w:rFonts w:eastAsia="SimSun"/>
        </w:rPr>
        <w:t>both coefficient</w:t>
      </w:r>
      <w:r w:rsidR="00B56219">
        <w:rPr>
          <w:rFonts w:eastAsia="SimSun"/>
        </w:rPr>
        <w:t>s are</w:t>
      </w:r>
      <w:r w:rsidR="00ED5B9E" w:rsidRPr="00C71655">
        <w:rPr>
          <w:rFonts w:eastAsia="SimSun"/>
        </w:rPr>
        <w:t xml:space="preserve"> significantly different from zero. The lagged IVIX term has larger coefficient and smaller standard error than the lagged GARCH term. Therefore, we could conclude that </w:t>
      </w:r>
      <w:r w:rsidR="00D424C4" w:rsidRPr="00C71655">
        <w:rPr>
          <w:rFonts w:eastAsia="SimSun"/>
        </w:rPr>
        <w:t xml:space="preserve">IVIX has better predictive performance than GARCH(1,1) estimate on future realized </w:t>
      </w:r>
      <w:r w:rsidR="005B77DF" w:rsidRPr="00C71655">
        <w:rPr>
          <w:rFonts w:eastAsia="SimSun"/>
        </w:rPr>
        <w:t>volatilities</w:t>
      </w:r>
      <w:r w:rsidR="00D424C4" w:rsidRPr="00C71655">
        <w:rPr>
          <w:rFonts w:eastAsia="SimSun"/>
        </w:rPr>
        <w:t>.</w:t>
      </w:r>
      <w:r w:rsidR="005B77DF" w:rsidRPr="00C71655">
        <w:rPr>
          <w:rFonts w:eastAsia="SimSun"/>
        </w:rPr>
        <w:t xml:space="preserve"> We </w:t>
      </w:r>
      <w:r w:rsidR="00B56219">
        <w:rPr>
          <w:rFonts w:eastAsia="SimSun"/>
        </w:rPr>
        <w:t xml:space="preserve">then </w:t>
      </w:r>
      <w:r w:rsidR="005B77DF" w:rsidRPr="00C71655">
        <w:rPr>
          <w:rFonts w:eastAsia="SimSun"/>
        </w:rPr>
        <w:t xml:space="preserve">use the above three models to predict future realized volatilities and </w:t>
      </w:r>
      <w:r w:rsidR="00462867" w:rsidRPr="00C71655">
        <w:rPr>
          <w:rFonts w:eastAsia="SimSun"/>
        </w:rPr>
        <w:t>compare the MAPE, RMSE and MSE of the prediction results.</w:t>
      </w:r>
    </w:p>
    <w:p w:rsidR="00B56219" w:rsidRDefault="00B56219" w:rsidP="00B56219">
      <w:pPr>
        <w:spacing w:line="480" w:lineRule="auto"/>
        <w:ind w:firstLine="720"/>
        <w:rPr>
          <w:rFonts w:eastAsia="SimSun"/>
        </w:rPr>
      </w:pPr>
    </w:p>
    <w:p w:rsidR="00B56219" w:rsidRPr="00C71655" w:rsidRDefault="00B56219" w:rsidP="00B56219">
      <w:pPr>
        <w:spacing w:line="480" w:lineRule="auto"/>
        <w:ind w:firstLine="720"/>
        <w:rPr>
          <w:rFonts w:eastAsia="SimSun"/>
        </w:rPr>
      </w:pPr>
    </w:p>
    <w:tbl>
      <w:tblPr>
        <w:tblStyle w:val="TableGrid"/>
        <w:tblW w:w="0" w:type="auto"/>
        <w:tblInd w:w="-5" w:type="dxa"/>
        <w:tblLook w:val="04A0" w:firstRow="1" w:lastRow="0" w:firstColumn="1" w:lastColumn="0" w:noHBand="0" w:noVBand="1"/>
      </w:tblPr>
      <w:tblGrid>
        <w:gridCol w:w="1418"/>
        <w:gridCol w:w="2532"/>
        <w:gridCol w:w="2532"/>
        <w:gridCol w:w="2533"/>
      </w:tblGrid>
      <w:tr w:rsidR="005B77DF" w:rsidRPr="00C71655" w:rsidTr="005F4967">
        <w:tc>
          <w:tcPr>
            <w:tcW w:w="1418" w:type="dxa"/>
            <w:shd w:val="clear" w:color="auto" w:fill="AEAAAA" w:themeFill="background2" w:themeFillShade="BF"/>
          </w:tcPr>
          <w:p w:rsidR="005B77DF" w:rsidRPr="00C71655" w:rsidRDefault="005B77DF" w:rsidP="005B5124">
            <w:pPr>
              <w:spacing w:line="360" w:lineRule="auto"/>
              <w:rPr>
                <w:rFonts w:eastAsia="SimSun"/>
              </w:rPr>
            </w:pPr>
          </w:p>
        </w:tc>
        <w:tc>
          <w:tcPr>
            <w:tcW w:w="2532" w:type="dxa"/>
            <w:shd w:val="clear" w:color="auto" w:fill="AEAAAA" w:themeFill="background2" w:themeFillShade="BF"/>
          </w:tcPr>
          <w:p w:rsidR="005B77DF" w:rsidRPr="00C71655" w:rsidRDefault="005B77DF" w:rsidP="00EC6736">
            <w:pPr>
              <w:spacing w:line="360" w:lineRule="auto"/>
              <w:jc w:val="center"/>
              <w:rPr>
                <w:rFonts w:eastAsia="SimSun"/>
              </w:rPr>
            </w:pPr>
            <w:r w:rsidRPr="00C71655">
              <w:rPr>
                <w:rFonts w:eastAsia="SimSun"/>
              </w:rPr>
              <w:t xml:space="preserve">Model1: </w:t>
            </w:r>
          </w:p>
          <w:p w:rsidR="005B77DF" w:rsidRPr="00C71655" w:rsidRDefault="005B77DF" w:rsidP="00EC6736">
            <w:pPr>
              <w:spacing w:line="360" w:lineRule="auto"/>
              <w:jc w:val="center"/>
              <w:rPr>
                <w:rFonts w:eastAsia="SimSun"/>
              </w:rPr>
            </w:pPr>
            <w:r w:rsidRPr="00C71655">
              <w:rPr>
                <w:rFonts w:eastAsia="SimSun"/>
              </w:rPr>
              <w:t>IVIX</w:t>
            </w:r>
          </w:p>
        </w:tc>
        <w:tc>
          <w:tcPr>
            <w:tcW w:w="2532" w:type="dxa"/>
            <w:shd w:val="clear" w:color="auto" w:fill="AEAAAA" w:themeFill="background2" w:themeFillShade="BF"/>
          </w:tcPr>
          <w:p w:rsidR="005B77DF" w:rsidRPr="00C71655" w:rsidRDefault="005B77DF" w:rsidP="00EC6736">
            <w:pPr>
              <w:spacing w:line="360" w:lineRule="auto"/>
              <w:jc w:val="center"/>
              <w:rPr>
                <w:rFonts w:eastAsia="SimSun"/>
              </w:rPr>
            </w:pPr>
            <w:r w:rsidRPr="00C71655">
              <w:rPr>
                <w:rFonts w:eastAsia="SimSun"/>
              </w:rPr>
              <w:t xml:space="preserve">Model2: </w:t>
            </w:r>
          </w:p>
          <w:p w:rsidR="005B77DF" w:rsidRPr="00C71655" w:rsidRDefault="005B77DF" w:rsidP="00EC6736">
            <w:pPr>
              <w:spacing w:line="360" w:lineRule="auto"/>
              <w:jc w:val="center"/>
              <w:rPr>
                <w:rFonts w:eastAsia="SimSun"/>
              </w:rPr>
            </w:pPr>
            <w:r w:rsidRPr="00C71655">
              <w:rPr>
                <w:rFonts w:eastAsia="SimSun"/>
              </w:rPr>
              <w:t>GARCH(1,1)</w:t>
            </w:r>
          </w:p>
        </w:tc>
        <w:tc>
          <w:tcPr>
            <w:tcW w:w="2533" w:type="dxa"/>
            <w:shd w:val="clear" w:color="auto" w:fill="AEAAAA" w:themeFill="background2" w:themeFillShade="BF"/>
          </w:tcPr>
          <w:p w:rsidR="005B77DF" w:rsidRPr="00C71655" w:rsidRDefault="005B77DF" w:rsidP="00EC6736">
            <w:pPr>
              <w:spacing w:line="360" w:lineRule="auto"/>
              <w:jc w:val="center"/>
              <w:rPr>
                <w:rFonts w:eastAsia="SimSun"/>
              </w:rPr>
            </w:pPr>
            <w:r w:rsidRPr="00C71655">
              <w:rPr>
                <w:rFonts w:eastAsia="SimSun"/>
              </w:rPr>
              <w:t xml:space="preserve">Model3: </w:t>
            </w:r>
          </w:p>
          <w:p w:rsidR="005B77DF" w:rsidRPr="00C71655" w:rsidRDefault="005B77DF" w:rsidP="00EC6736">
            <w:pPr>
              <w:spacing w:line="360" w:lineRule="auto"/>
              <w:jc w:val="center"/>
              <w:rPr>
                <w:rFonts w:eastAsia="SimSun"/>
              </w:rPr>
            </w:pPr>
            <w:r w:rsidRPr="00C71655">
              <w:rPr>
                <w:rFonts w:eastAsia="SimSun"/>
              </w:rPr>
              <w:t>IVIX &amp; GARCH(1,1)</w:t>
            </w:r>
          </w:p>
        </w:tc>
      </w:tr>
      <w:tr w:rsidR="005B77DF" w:rsidRPr="00C71655" w:rsidTr="005F4967">
        <w:tc>
          <w:tcPr>
            <w:tcW w:w="1418" w:type="dxa"/>
          </w:tcPr>
          <w:p w:rsidR="005B77DF" w:rsidRPr="00C71655" w:rsidRDefault="005B77DF" w:rsidP="00EC6736">
            <w:pPr>
              <w:spacing w:line="360" w:lineRule="auto"/>
              <w:jc w:val="center"/>
              <w:rPr>
                <w:rFonts w:eastAsia="SimSun"/>
              </w:rPr>
            </w:pPr>
            <w:r w:rsidRPr="00C71655">
              <w:rPr>
                <w:rFonts w:eastAsia="SimSun"/>
              </w:rPr>
              <w:t>MAPE</w:t>
            </w:r>
          </w:p>
        </w:tc>
        <w:tc>
          <w:tcPr>
            <w:tcW w:w="2532" w:type="dxa"/>
          </w:tcPr>
          <w:p w:rsidR="005B77DF" w:rsidRPr="00C71655" w:rsidRDefault="005B77DF"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25.80720</w:t>
            </w:r>
          </w:p>
        </w:tc>
        <w:tc>
          <w:tcPr>
            <w:tcW w:w="2532" w:type="dxa"/>
          </w:tcPr>
          <w:p w:rsidR="005B77DF" w:rsidRPr="00C71655" w:rsidRDefault="005B77DF"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25.88163</w:t>
            </w:r>
          </w:p>
        </w:tc>
        <w:tc>
          <w:tcPr>
            <w:tcW w:w="2533" w:type="dxa"/>
            <w:shd w:val="clear" w:color="auto" w:fill="FFC000"/>
          </w:tcPr>
          <w:p w:rsidR="005B77DF" w:rsidRPr="00C71655" w:rsidRDefault="005B77DF"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25.06478</w:t>
            </w:r>
          </w:p>
        </w:tc>
      </w:tr>
      <w:tr w:rsidR="005B77DF" w:rsidRPr="00C71655" w:rsidTr="005F4967">
        <w:tc>
          <w:tcPr>
            <w:tcW w:w="1418" w:type="dxa"/>
          </w:tcPr>
          <w:p w:rsidR="005B77DF" w:rsidRPr="00C71655" w:rsidRDefault="005B77DF" w:rsidP="00EC6736">
            <w:pPr>
              <w:spacing w:line="360" w:lineRule="auto"/>
              <w:jc w:val="center"/>
              <w:rPr>
                <w:rFonts w:eastAsia="SimSun"/>
              </w:rPr>
            </w:pPr>
            <w:r w:rsidRPr="00C71655">
              <w:rPr>
                <w:rFonts w:eastAsia="SimSun"/>
              </w:rPr>
              <w:t>RMSE</w:t>
            </w:r>
          </w:p>
        </w:tc>
        <w:tc>
          <w:tcPr>
            <w:tcW w:w="2532" w:type="dxa"/>
          </w:tcPr>
          <w:p w:rsidR="005B77DF" w:rsidRPr="00C71655" w:rsidRDefault="005B77DF"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0.07140</w:t>
            </w:r>
          </w:p>
        </w:tc>
        <w:tc>
          <w:tcPr>
            <w:tcW w:w="2532" w:type="dxa"/>
          </w:tcPr>
          <w:p w:rsidR="005B77DF" w:rsidRPr="00C71655" w:rsidRDefault="005F4967"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0.07200</w:t>
            </w:r>
          </w:p>
        </w:tc>
        <w:tc>
          <w:tcPr>
            <w:tcW w:w="2533" w:type="dxa"/>
            <w:shd w:val="clear" w:color="auto" w:fill="FFC000"/>
          </w:tcPr>
          <w:p w:rsidR="005B77DF" w:rsidRPr="00C71655" w:rsidRDefault="005F4967"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0.06989</w:t>
            </w:r>
          </w:p>
        </w:tc>
      </w:tr>
      <w:tr w:rsidR="005B77DF" w:rsidRPr="00C71655" w:rsidTr="005F4967">
        <w:tc>
          <w:tcPr>
            <w:tcW w:w="1418" w:type="dxa"/>
          </w:tcPr>
          <w:p w:rsidR="005B77DF" w:rsidRPr="00C71655" w:rsidRDefault="005B77DF" w:rsidP="00EC6736">
            <w:pPr>
              <w:spacing w:line="360" w:lineRule="auto"/>
              <w:jc w:val="center"/>
              <w:rPr>
                <w:rFonts w:eastAsia="SimSun"/>
              </w:rPr>
            </w:pPr>
            <w:r w:rsidRPr="00C71655">
              <w:rPr>
                <w:rFonts w:eastAsia="SimSun"/>
              </w:rPr>
              <w:t>MSE</w:t>
            </w:r>
          </w:p>
        </w:tc>
        <w:tc>
          <w:tcPr>
            <w:tcW w:w="2532" w:type="dxa"/>
          </w:tcPr>
          <w:p w:rsidR="005B77DF" w:rsidRPr="00C71655" w:rsidRDefault="005F4967"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0.00508735</w:t>
            </w:r>
          </w:p>
        </w:tc>
        <w:tc>
          <w:tcPr>
            <w:tcW w:w="2532" w:type="dxa"/>
          </w:tcPr>
          <w:p w:rsidR="005B77DF" w:rsidRPr="00C71655" w:rsidRDefault="005F4967"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0.00518463</w:t>
            </w:r>
          </w:p>
        </w:tc>
        <w:tc>
          <w:tcPr>
            <w:tcW w:w="2533" w:type="dxa"/>
            <w:shd w:val="clear" w:color="auto" w:fill="FFC000"/>
          </w:tcPr>
          <w:p w:rsidR="005B77DF" w:rsidRPr="00C71655" w:rsidRDefault="005F4967" w:rsidP="005F4967">
            <w:pPr>
              <w:pStyle w:val="HTMLPreformatted"/>
              <w:wordWrap w:val="0"/>
              <w:jc w:val="center"/>
              <w:textAlignment w:val="baseline"/>
              <w:rPr>
                <w:rFonts w:ascii="Times New Roman" w:hAnsi="Times New Roman" w:cs="Times New Roman"/>
                <w:color w:val="000000"/>
                <w:sz w:val="24"/>
                <w:szCs w:val="21"/>
              </w:rPr>
            </w:pPr>
            <w:r w:rsidRPr="00C71655">
              <w:rPr>
                <w:rFonts w:ascii="Times New Roman" w:hAnsi="Times New Roman" w:cs="Times New Roman"/>
                <w:color w:val="000000"/>
                <w:sz w:val="24"/>
                <w:szCs w:val="21"/>
              </w:rPr>
              <w:t>0.00488494</w:t>
            </w:r>
          </w:p>
        </w:tc>
      </w:tr>
    </w:tbl>
    <w:p w:rsidR="00462867" w:rsidRPr="00C71655" w:rsidRDefault="00462867" w:rsidP="005B5124">
      <w:pPr>
        <w:spacing w:line="360" w:lineRule="auto"/>
        <w:rPr>
          <w:rFonts w:eastAsia="SimSun"/>
        </w:rPr>
      </w:pPr>
    </w:p>
    <w:p w:rsidR="00A43CAB" w:rsidRPr="00C71655" w:rsidRDefault="00EC6736" w:rsidP="00B56219">
      <w:pPr>
        <w:spacing w:line="480" w:lineRule="auto"/>
        <w:ind w:firstLine="720"/>
      </w:pPr>
      <w:r w:rsidRPr="00C71655">
        <w:t xml:space="preserve">From both the three estimates, </w:t>
      </w:r>
      <w:r w:rsidR="004C2619" w:rsidRPr="00C71655">
        <w:t>IVIX alone has better performance than GARCH(1,1) estimate in forecasting future realized volatility. Combining IVIX and GARCH(1,1) estimates using model 3, these two variables could together provide more accurate prediction</w:t>
      </w:r>
      <w:r w:rsidR="00BC0455" w:rsidRPr="00C71655">
        <w:t xml:space="preserve"> than any of the two univariate model</w:t>
      </w:r>
      <w:r w:rsidR="00AF694A" w:rsidRPr="00C71655">
        <w:t>, same as the result by Day and Lewis(1992)</w:t>
      </w:r>
      <w:r w:rsidR="004C2619" w:rsidRPr="00C71655">
        <w:t xml:space="preserve">. </w:t>
      </w:r>
      <w:r w:rsidR="008722A5" w:rsidRPr="00C71655">
        <w:t xml:space="preserve">The third model also has higher adjusted R-square than the previous two models. </w:t>
      </w:r>
      <w:r w:rsidR="004C2619" w:rsidRPr="00C71655">
        <w:t>From the regression result of the three models above as well as the forecasting errors</w:t>
      </w:r>
      <w:r w:rsidRPr="00C71655">
        <w:t xml:space="preserve">, we could conclude that both IVIX and GARCH(1,1) estimate could be used to forecast future realized volatility. Between the two models, IVIX has more accurate predictions. </w:t>
      </w:r>
    </w:p>
    <w:p w:rsidR="00A43CAB" w:rsidRPr="00B56219" w:rsidRDefault="005B5124" w:rsidP="00B56219">
      <w:pPr>
        <w:pStyle w:val="ListParagraph"/>
        <w:numPr>
          <w:ilvl w:val="0"/>
          <w:numId w:val="13"/>
        </w:numPr>
        <w:spacing w:line="480" w:lineRule="auto"/>
        <w:rPr>
          <w:b/>
          <w:sz w:val="32"/>
        </w:rPr>
      </w:pPr>
      <w:r w:rsidRPr="00B56219">
        <w:rPr>
          <w:b/>
          <w:sz w:val="32"/>
        </w:rPr>
        <w:t>Forecasting future implied volatilities</w:t>
      </w:r>
    </w:p>
    <w:p w:rsidR="00A47E0A" w:rsidRPr="00C71655" w:rsidRDefault="00675DC8" w:rsidP="009A73B1">
      <w:pPr>
        <w:spacing w:line="480" w:lineRule="auto"/>
        <w:ind w:firstLine="360"/>
      </w:pPr>
      <w:r w:rsidRPr="00C71655">
        <w:t>For the implied volatilit</w:t>
      </w:r>
      <w:r w:rsidR="00A47E0A" w:rsidRPr="00C71655">
        <w:t xml:space="preserve">y, this paper applies both simple time series forecasting model and </w:t>
      </w:r>
      <w:r w:rsidR="009A73B1">
        <w:t>deep learning</w:t>
      </w:r>
      <w:r w:rsidR="00A47E0A" w:rsidRPr="00C71655">
        <w:t xml:space="preserve"> algorithm, namely ARIMA and Long Short Term Memory(LSTM). We</w:t>
      </w:r>
      <w:r w:rsidR="009A73B1">
        <w:t xml:space="preserve"> </w:t>
      </w:r>
      <w:r w:rsidR="00A47E0A" w:rsidRPr="00C71655">
        <w:t>use ARIMA as benchmark and compare the predictive performance of the two models.</w:t>
      </w:r>
    </w:p>
    <w:p w:rsidR="00A47E0A" w:rsidRPr="009A73B1" w:rsidRDefault="00A47E0A" w:rsidP="009A73B1">
      <w:pPr>
        <w:pStyle w:val="ListParagraph"/>
        <w:numPr>
          <w:ilvl w:val="1"/>
          <w:numId w:val="13"/>
        </w:numPr>
        <w:spacing w:line="480" w:lineRule="auto"/>
        <w:rPr>
          <w:b/>
        </w:rPr>
      </w:pPr>
      <w:r w:rsidRPr="009A73B1">
        <w:rPr>
          <w:b/>
        </w:rPr>
        <w:t>ARIMA</w:t>
      </w:r>
      <w:r w:rsidR="009A73B1" w:rsidRPr="009A73B1">
        <w:rPr>
          <w:b/>
        </w:rPr>
        <w:t xml:space="preserve"> Model</w:t>
      </w:r>
    </w:p>
    <w:p w:rsidR="00A47E0A" w:rsidRPr="00C71655" w:rsidRDefault="00A47E0A" w:rsidP="00164B1B">
      <w:pPr>
        <w:spacing w:line="480" w:lineRule="auto"/>
      </w:pPr>
      <w:r w:rsidRPr="00C71655">
        <w:t xml:space="preserve">ARIMA </w:t>
      </w:r>
      <w:r w:rsidR="00ED3463" w:rsidRPr="00C71655">
        <w:t>model combines the Auto</w:t>
      </w:r>
      <w:r w:rsidR="00033C68">
        <w:t>r</w:t>
      </w:r>
      <w:r w:rsidR="00ED3463" w:rsidRPr="00C71655">
        <w:t>egressive Model(AR) and Moving Average Model(MA). It uses past volatilities and noise processes to predict volatility in the current state.</w:t>
      </w:r>
      <w:r w:rsidR="00BE6DD6" w:rsidRPr="00C71655">
        <w:t xml:space="preserve"> The general formula with parameter p and q is listed below.</w:t>
      </w:r>
    </w:p>
    <w:p w:rsidR="00BE6DD6" w:rsidRPr="00C71655" w:rsidRDefault="0087272B" w:rsidP="00164B1B">
      <w:pPr>
        <w:spacing w:line="480" w:lineRule="auto"/>
        <w:rPr>
          <w:iCs/>
        </w:rPr>
      </w:pPr>
      <m:oMathPara>
        <m:oMath>
          <m:sSub>
            <m:sSubPr>
              <m:ctrlPr>
                <w:rPr>
                  <w:rFonts w:ascii="Cambria Math" w:hAnsi="Cambria Math"/>
                  <w:i/>
                  <w:iCs/>
                </w:rPr>
              </m:ctrlPr>
            </m:sSubPr>
            <m:e>
              <m:r>
                <w:rPr>
                  <w:rFonts w:ascii="Cambria Math" w:hAnsi="Cambria Math"/>
                </w:rPr>
                <m:t>r</m:t>
              </m:r>
            </m:e>
            <m:sub>
              <m:r>
                <w:rPr>
                  <w:rFonts w:ascii="Cambria Math" w:hAnsi="Cambria Math"/>
                </w:rPr>
                <m:t>t</m:t>
              </m:r>
            </m:sub>
          </m:sSub>
          <m:r>
            <w:rPr>
              <w:rFonts w:ascii="Cambria Math" w:hAnsi="Cambria Math"/>
            </w:rPr>
            <m:t>=</m:t>
          </m:r>
          <m:sSub>
            <m:sSubPr>
              <m:ctrlPr>
                <w:rPr>
                  <w:rFonts w:ascii="Cambria Math" w:hAnsi="Cambria Math"/>
                  <w:i/>
                  <w:iCs/>
                </w:rPr>
              </m:ctrlPr>
            </m:sSubPr>
            <m:e>
              <m:r>
                <w:rPr>
                  <w:rFonts w:ascii="Cambria Math" w:hAnsi="Cambria Math"/>
                </w:rPr>
                <m:t>θ</m:t>
              </m:r>
            </m:e>
            <m:sub>
              <m:r>
                <w:rPr>
                  <w:rFonts w:ascii="Cambria Math" w:hAnsi="Cambria Math"/>
                </w:rPr>
                <m:t>1</m:t>
              </m:r>
            </m:sub>
          </m:sSub>
          <m:sSub>
            <m:sSubPr>
              <m:ctrlPr>
                <w:rPr>
                  <w:rFonts w:ascii="Cambria Math" w:hAnsi="Cambria Math"/>
                  <w:i/>
                  <w:iCs/>
                </w:rPr>
              </m:ctrlPr>
            </m:sSubPr>
            <m:e>
              <m:r>
                <w:rPr>
                  <w:rFonts w:ascii="Cambria Math" w:hAnsi="Cambria Math"/>
                </w:rPr>
                <m:t>r</m:t>
              </m:r>
            </m:e>
            <m:sub>
              <m:r>
                <w:rPr>
                  <w:rFonts w:ascii="Cambria Math" w:hAnsi="Cambria Math"/>
                </w:rPr>
                <m:t>t-1</m:t>
              </m:r>
            </m:sub>
          </m:sSub>
          <m:r>
            <w:rPr>
              <w:rFonts w:ascii="Cambria Math" w:hAnsi="Cambria Math"/>
            </w:rPr>
            <m:t>+</m:t>
          </m:r>
          <m:sSub>
            <m:sSubPr>
              <m:ctrlPr>
                <w:rPr>
                  <w:rFonts w:ascii="Cambria Math" w:hAnsi="Cambria Math"/>
                  <w:i/>
                  <w:iCs/>
                </w:rPr>
              </m:ctrlPr>
            </m:sSubPr>
            <m:e>
              <m:r>
                <w:rPr>
                  <w:rFonts w:ascii="Cambria Math" w:hAnsi="Cambria Math"/>
                </w:rPr>
                <m:t>θ</m:t>
              </m:r>
            </m:e>
            <m:sub>
              <m:r>
                <w:rPr>
                  <w:rFonts w:ascii="Cambria Math" w:hAnsi="Cambria Math"/>
                </w:rPr>
                <m:t>2</m:t>
              </m:r>
            </m:sub>
          </m:sSub>
          <m:sSub>
            <m:sSubPr>
              <m:ctrlPr>
                <w:rPr>
                  <w:rFonts w:ascii="Cambria Math" w:hAnsi="Cambria Math"/>
                  <w:i/>
                  <w:iCs/>
                </w:rPr>
              </m:ctrlPr>
            </m:sSubPr>
            <m:e>
              <m:r>
                <w:rPr>
                  <w:rFonts w:ascii="Cambria Math" w:hAnsi="Cambria Math"/>
                </w:rPr>
                <m:t>r</m:t>
              </m:r>
            </m:e>
            <m:sub>
              <m:r>
                <w:rPr>
                  <w:rFonts w:ascii="Cambria Math" w:hAnsi="Cambria Math"/>
                </w:rPr>
                <m:t>t-2</m:t>
              </m:r>
            </m:sub>
          </m:sSub>
          <m:r>
            <w:rPr>
              <w:rFonts w:ascii="Cambria Math" w:hAnsi="Cambria Math"/>
            </w:rPr>
            <m:t>+…+</m:t>
          </m:r>
          <m:sSub>
            <m:sSubPr>
              <m:ctrlPr>
                <w:rPr>
                  <w:rFonts w:ascii="Cambria Math" w:hAnsi="Cambria Math"/>
                  <w:i/>
                  <w:iCs/>
                </w:rPr>
              </m:ctrlPr>
            </m:sSubPr>
            <m:e>
              <m:r>
                <w:rPr>
                  <w:rFonts w:ascii="Cambria Math" w:hAnsi="Cambria Math"/>
                </w:rPr>
                <m:t>θ</m:t>
              </m:r>
            </m:e>
            <m:sub>
              <m:r>
                <w:rPr>
                  <w:rFonts w:ascii="Cambria Math" w:hAnsi="Cambria Math"/>
                </w:rPr>
                <m:t>p</m:t>
              </m:r>
            </m:sub>
          </m:sSub>
          <m:sSub>
            <m:sSubPr>
              <m:ctrlPr>
                <w:rPr>
                  <w:rFonts w:ascii="Cambria Math" w:hAnsi="Cambria Math"/>
                  <w:i/>
                  <w:iCs/>
                </w:rPr>
              </m:ctrlPr>
            </m:sSubPr>
            <m:e>
              <m:r>
                <w:rPr>
                  <w:rFonts w:ascii="Cambria Math" w:hAnsi="Cambria Math"/>
                </w:rPr>
                <m:t>r</m:t>
              </m:r>
            </m:e>
            <m:sub>
              <m:r>
                <w:rPr>
                  <w:rFonts w:ascii="Cambria Math" w:hAnsi="Cambria Math"/>
                </w:rPr>
                <m:t>t-p</m:t>
              </m:r>
            </m:sub>
          </m:sSub>
          <m:r>
            <w:rPr>
              <w:rFonts w:ascii="Cambria Math" w:hAnsi="Cambria Math"/>
            </w:rPr>
            <m:t>+</m:t>
          </m:r>
          <m:sSub>
            <m:sSubPr>
              <m:ctrlPr>
                <w:rPr>
                  <w:rFonts w:ascii="Cambria Math" w:hAnsi="Cambria Math"/>
                  <w:i/>
                  <w:iCs/>
                </w:rPr>
              </m:ctrlPr>
            </m:sSubPr>
            <m:e>
              <m:r>
                <w:rPr>
                  <w:rFonts w:ascii="Cambria Math" w:hAnsi="Cambria Math"/>
                </w:rPr>
                <m:t>ϕ</m:t>
              </m:r>
            </m:e>
            <m:sub>
              <m:r>
                <w:rPr>
                  <w:rFonts w:ascii="Cambria Math" w:hAnsi="Cambria Math"/>
                </w:rPr>
                <m:t>1</m:t>
              </m:r>
            </m:sub>
          </m:sSub>
          <m:sSub>
            <m:sSubPr>
              <m:ctrlPr>
                <w:rPr>
                  <w:rFonts w:ascii="Cambria Math" w:hAnsi="Cambria Math"/>
                  <w:i/>
                  <w:iCs/>
                </w:rPr>
              </m:ctrlPr>
            </m:sSubPr>
            <m:e>
              <m:r>
                <w:rPr>
                  <w:rFonts w:ascii="Cambria Math" w:hAnsi="Cambria Math"/>
                </w:rPr>
                <m:t>ϵ</m:t>
              </m:r>
            </m:e>
            <m:sub>
              <m:r>
                <w:rPr>
                  <w:rFonts w:ascii="Cambria Math" w:hAnsi="Cambria Math"/>
                </w:rPr>
                <m:t>t-1</m:t>
              </m:r>
            </m:sub>
          </m:sSub>
          <m:r>
            <w:rPr>
              <w:rFonts w:ascii="Cambria Math" w:hAnsi="Cambria Math"/>
            </w:rPr>
            <m:t>+…+</m:t>
          </m:r>
          <m:sSub>
            <m:sSubPr>
              <m:ctrlPr>
                <w:rPr>
                  <w:rFonts w:ascii="Cambria Math" w:hAnsi="Cambria Math"/>
                  <w:i/>
                  <w:iCs/>
                </w:rPr>
              </m:ctrlPr>
            </m:sSubPr>
            <m:e>
              <m:r>
                <w:rPr>
                  <w:rFonts w:ascii="Cambria Math" w:hAnsi="Cambria Math"/>
                </w:rPr>
                <m:t>ϕ</m:t>
              </m:r>
            </m:e>
            <m:sub>
              <m:r>
                <w:rPr>
                  <w:rFonts w:ascii="Cambria Math" w:hAnsi="Cambria Math"/>
                </w:rPr>
                <m:t>q</m:t>
              </m:r>
            </m:sub>
          </m:sSub>
          <m:sSub>
            <m:sSubPr>
              <m:ctrlPr>
                <w:rPr>
                  <w:rFonts w:ascii="Cambria Math" w:hAnsi="Cambria Math"/>
                  <w:i/>
                  <w:iCs/>
                </w:rPr>
              </m:ctrlPr>
            </m:sSubPr>
            <m:e>
              <m:r>
                <w:rPr>
                  <w:rFonts w:ascii="Cambria Math" w:hAnsi="Cambria Math"/>
                </w:rPr>
                <m:t>ϵ</m:t>
              </m:r>
            </m:e>
            <m:sub>
              <m:r>
                <w:rPr>
                  <w:rFonts w:ascii="Cambria Math" w:hAnsi="Cambria Math"/>
                </w:rPr>
                <m:t>t-q</m:t>
              </m:r>
            </m:sub>
          </m:sSub>
          <m:r>
            <w:rPr>
              <w:rFonts w:ascii="Cambria Math" w:hAnsi="Cambria Math"/>
            </w:rPr>
            <m:t>+δ</m:t>
          </m:r>
        </m:oMath>
      </m:oMathPara>
    </w:p>
    <w:p w:rsidR="009C78FC" w:rsidRPr="009A73B1" w:rsidRDefault="009C78FC" w:rsidP="009A73B1">
      <w:pPr>
        <w:pStyle w:val="ListParagraph"/>
        <w:numPr>
          <w:ilvl w:val="2"/>
          <w:numId w:val="13"/>
        </w:numPr>
        <w:spacing w:line="480" w:lineRule="auto"/>
        <w:rPr>
          <w:b/>
        </w:rPr>
      </w:pPr>
      <w:r w:rsidRPr="009A73B1">
        <w:rPr>
          <w:b/>
        </w:rPr>
        <w:t>Stationary Test</w:t>
      </w:r>
    </w:p>
    <w:p w:rsidR="009C78FC" w:rsidRPr="00C71655" w:rsidRDefault="009C78FC" w:rsidP="00164B1B">
      <w:pPr>
        <w:spacing w:line="480" w:lineRule="auto"/>
        <w:ind w:firstLine="720"/>
      </w:pPr>
      <w:r w:rsidRPr="00C71655">
        <w:lastRenderedPageBreak/>
        <w:t>We first apply differencing method on the original data with term 1, 2 and 3, then use Augmented Dickey Fuller (ADF) test to find the least differencing term that transforms the original time series to a stationary one. In this case, we use first order differencing.</w:t>
      </w:r>
    </w:p>
    <w:p w:rsidR="006129F3" w:rsidRPr="00C71655" w:rsidRDefault="009C78FC" w:rsidP="006129F3">
      <w:pPr>
        <w:keepNext/>
        <w:ind w:firstLine="720"/>
      </w:pPr>
      <w:r w:rsidRPr="00C71655">
        <w:rPr>
          <w:noProof/>
        </w:rPr>
        <w:drawing>
          <wp:inline distT="0" distB="0" distL="0" distR="0" wp14:anchorId="37ADB12F" wp14:editId="1D732660">
            <wp:extent cx="2148106" cy="1644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foreadf.png"/>
                    <pic:cNvPicPr/>
                  </pic:nvPicPr>
                  <pic:blipFill rotWithShape="1">
                    <a:blip r:embed="rId13">
                      <a:extLst>
                        <a:ext uri="{28A0092B-C50C-407E-A947-70E740481C1C}">
                          <a14:useLocalDpi xmlns:a14="http://schemas.microsoft.com/office/drawing/2010/main" val="0"/>
                        </a:ext>
                      </a:extLst>
                    </a:blip>
                    <a:srcRect l="8377" t="10221" r="6963" b="5041"/>
                    <a:stretch/>
                  </pic:blipFill>
                  <pic:spPr bwMode="auto">
                    <a:xfrm>
                      <a:off x="0" y="0"/>
                      <a:ext cx="2166222" cy="1658108"/>
                    </a:xfrm>
                    <a:prstGeom prst="rect">
                      <a:avLst/>
                    </a:prstGeom>
                    <a:ln>
                      <a:noFill/>
                    </a:ln>
                    <a:extLst>
                      <a:ext uri="{53640926-AAD7-44D8-BBD7-CCE9431645EC}">
                        <a14:shadowObscured xmlns:a14="http://schemas.microsoft.com/office/drawing/2010/main"/>
                      </a:ext>
                    </a:extLst>
                  </pic:spPr>
                </pic:pic>
              </a:graphicData>
            </a:graphic>
          </wp:inline>
        </w:drawing>
      </w:r>
      <w:r w:rsidR="006129F3" w:rsidRPr="00C71655">
        <w:rPr>
          <w:noProof/>
        </w:rPr>
        <w:drawing>
          <wp:inline distT="0" distB="0" distL="0" distR="0" wp14:anchorId="164DC67F" wp14:editId="40C4A21F">
            <wp:extent cx="2195084" cy="164424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teradf.png"/>
                    <pic:cNvPicPr/>
                  </pic:nvPicPr>
                  <pic:blipFill rotWithShape="1">
                    <a:blip r:embed="rId14">
                      <a:extLst>
                        <a:ext uri="{28A0092B-C50C-407E-A947-70E740481C1C}">
                          <a14:useLocalDpi xmlns:a14="http://schemas.microsoft.com/office/drawing/2010/main" val="0"/>
                        </a:ext>
                      </a:extLst>
                    </a:blip>
                    <a:srcRect l="6751" t="9193" r="6886" b="6216"/>
                    <a:stretch/>
                  </pic:blipFill>
                  <pic:spPr bwMode="auto">
                    <a:xfrm>
                      <a:off x="0" y="0"/>
                      <a:ext cx="2214622" cy="1658877"/>
                    </a:xfrm>
                    <a:prstGeom prst="rect">
                      <a:avLst/>
                    </a:prstGeom>
                    <a:ln>
                      <a:noFill/>
                    </a:ln>
                    <a:extLst>
                      <a:ext uri="{53640926-AAD7-44D8-BBD7-CCE9431645EC}">
                        <a14:shadowObscured xmlns:a14="http://schemas.microsoft.com/office/drawing/2010/main"/>
                      </a:ext>
                    </a:extLst>
                  </pic:spPr>
                </pic:pic>
              </a:graphicData>
            </a:graphic>
          </wp:inline>
        </w:drawing>
      </w:r>
    </w:p>
    <w:p w:rsidR="009C78FC" w:rsidRPr="00C71655" w:rsidRDefault="006129F3" w:rsidP="00164B1B">
      <w:pPr>
        <w:pStyle w:val="Caption"/>
        <w:spacing w:line="480" w:lineRule="auto"/>
        <w:ind w:left="720" w:firstLine="720"/>
      </w:pPr>
      <w:r w:rsidRPr="00C71655">
        <w:t xml:space="preserve">Figure </w:t>
      </w:r>
      <w:fldSimple w:instr=" SEQ Figure \* ARABIC ">
        <w:r w:rsidR="0011566E" w:rsidRPr="00C71655">
          <w:rPr>
            <w:noProof/>
          </w:rPr>
          <w:t>5</w:t>
        </w:r>
      </w:fldSimple>
      <w:r w:rsidRPr="00C71655">
        <w:t xml:space="preserve"> Before Differencing    </w:t>
      </w:r>
      <w:r w:rsidRPr="00C71655">
        <w:tab/>
      </w:r>
      <w:r w:rsidRPr="00C71655">
        <w:tab/>
        <w:t xml:space="preserve"> Figure </w:t>
      </w:r>
      <w:fldSimple w:instr=" SEQ Figure \* ARABIC ">
        <w:r w:rsidR="0011566E" w:rsidRPr="00C71655">
          <w:rPr>
            <w:noProof/>
          </w:rPr>
          <w:t>6</w:t>
        </w:r>
      </w:fldSimple>
      <w:r w:rsidRPr="00C71655">
        <w:t xml:space="preserve"> After Differencing</w:t>
      </w:r>
    </w:p>
    <w:p w:rsidR="009A73B1" w:rsidRPr="009A73B1" w:rsidRDefault="009A73B1" w:rsidP="009A73B1">
      <w:pPr>
        <w:pStyle w:val="ListParagraph"/>
        <w:numPr>
          <w:ilvl w:val="2"/>
          <w:numId w:val="13"/>
        </w:numPr>
        <w:spacing w:line="480" w:lineRule="auto"/>
        <w:rPr>
          <w:b/>
        </w:rPr>
      </w:pPr>
      <w:r>
        <w:rPr>
          <w:b/>
        </w:rPr>
        <w:t>Select Parameters p, q</w:t>
      </w:r>
    </w:p>
    <w:p w:rsidR="00A262EB" w:rsidRPr="00C71655" w:rsidRDefault="00A262EB" w:rsidP="009A73B1">
      <w:pPr>
        <w:spacing w:line="480" w:lineRule="auto"/>
        <w:ind w:firstLine="720"/>
      </w:pPr>
      <w:r w:rsidRPr="00C71655">
        <w:t xml:space="preserve">We use Akaike Information Criterion(AIC) and Bayesian Information Criterion (BIC) to select the parameters of ARIMA. AIC and BIC are two methods of scoring a model based on its log-likelihood and complexity. We build an AIC and BIC matrix for all possible p </w:t>
      </w:r>
      <w:r w:rsidR="005817E1" w:rsidRPr="00C71655">
        <w:t>and</w:t>
      </w:r>
      <w:r w:rsidRPr="00C71655">
        <w:t xml:space="preserve"> q values, then choose the one with </w:t>
      </w:r>
      <w:r w:rsidR="005817E1" w:rsidRPr="00C71655">
        <w:t>low</w:t>
      </w:r>
      <w:r w:rsidRPr="00C71655">
        <w:t>est AIC value.</w:t>
      </w:r>
      <w:r w:rsidR="005817E1" w:rsidRPr="00C71655">
        <w:t xml:space="preserve"> From the matrix, the p and q value for this model are 7 and 0 respectively. </w:t>
      </w:r>
    </w:p>
    <w:p w:rsidR="009A73B1" w:rsidRPr="009A73B1" w:rsidRDefault="009A73B1" w:rsidP="00164B1B">
      <w:pPr>
        <w:pStyle w:val="ListParagraph"/>
        <w:numPr>
          <w:ilvl w:val="2"/>
          <w:numId w:val="13"/>
        </w:numPr>
        <w:spacing w:line="480" w:lineRule="auto"/>
        <w:rPr>
          <w:b/>
        </w:rPr>
      </w:pPr>
      <w:r>
        <w:rPr>
          <w:b/>
        </w:rPr>
        <w:t>Gaussian white noise test</w:t>
      </w:r>
    </w:p>
    <w:p w:rsidR="00987127" w:rsidRPr="00C71655" w:rsidRDefault="005817E1" w:rsidP="009A73B1">
      <w:pPr>
        <w:spacing w:line="480" w:lineRule="auto"/>
        <w:ind w:firstLine="720"/>
      </w:pPr>
      <w:r w:rsidRPr="00C71655">
        <w:t xml:space="preserve">Since ARIMA model </w:t>
      </w:r>
      <w:r w:rsidR="00667C32" w:rsidRPr="00C71655">
        <w:t>assumes residual to be Gaussian white noise when the model is a good fit of the data, we then perform Ljung-Box test to test that whether</w:t>
      </w:r>
      <w:r w:rsidR="00F37EED" w:rsidRPr="00C71655">
        <w:t xml:space="preserve"> residual is white noise. According to the result, the Ljung-Box statistics is 3786.93 with p-value almost zero. It indicates that there exists auto-correlation in the model residual. Therefore, we can conclude that there is nonlinear pattern that couldn’t be captured by the ARIMA model. </w:t>
      </w:r>
    </w:p>
    <w:p w:rsidR="009A73B1" w:rsidRPr="009A73B1" w:rsidRDefault="009A73B1" w:rsidP="009A73B1">
      <w:pPr>
        <w:pStyle w:val="ListParagraph"/>
        <w:numPr>
          <w:ilvl w:val="2"/>
          <w:numId w:val="13"/>
        </w:numPr>
        <w:spacing w:line="480" w:lineRule="auto"/>
        <w:rPr>
          <w:b/>
        </w:rPr>
      </w:pPr>
      <w:r>
        <w:rPr>
          <w:b/>
        </w:rPr>
        <w:t>Prediction Result</w:t>
      </w:r>
    </w:p>
    <w:p w:rsidR="001245B0" w:rsidRPr="00C71655" w:rsidRDefault="001245B0" w:rsidP="009A73B1">
      <w:pPr>
        <w:spacing w:line="480" w:lineRule="auto"/>
        <w:ind w:firstLine="720"/>
      </w:pPr>
      <w:r w:rsidRPr="00C71655">
        <w:t>Due to the above point, the prediction result is not satisfying. Prediction graph is provided below. We train the model on the past 76300 minutes to estimate the coefficients, then predict 20 minutes into the future.</w:t>
      </w:r>
    </w:p>
    <w:p w:rsidR="00281E14" w:rsidRPr="00C71655" w:rsidRDefault="00D027FA" w:rsidP="00281E14">
      <w:pPr>
        <w:keepNext/>
        <w:spacing w:line="360" w:lineRule="auto"/>
      </w:pPr>
      <w:r w:rsidRPr="00C71655">
        <w:rPr>
          <w:noProof/>
        </w:rPr>
        <w:lastRenderedPageBreak/>
        <w:drawing>
          <wp:inline distT="0" distB="0" distL="0" distR="0">
            <wp:extent cx="2810312" cy="205317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imapredict.png"/>
                    <pic:cNvPicPr/>
                  </pic:nvPicPr>
                  <pic:blipFill rotWithShape="1">
                    <a:blip r:embed="rId15">
                      <a:extLst>
                        <a:ext uri="{28A0092B-C50C-407E-A947-70E740481C1C}">
                          <a14:useLocalDpi xmlns:a14="http://schemas.microsoft.com/office/drawing/2010/main" val="0"/>
                        </a:ext>
                      </a:extLst>
                    </a:blip>
                    <a:srcRect l="6591" t="10725" r="8002" b="7682"/>
                    <a:stretch/>
                  </pic:blipFill>
                  <pic:spPr bwMode="auto">
                    <a:xfrm>
                      <a:off x="0" y="0"/>
                      <a:ext cx="2831865" cy="2068926"/>
                    </a:xfrm>
                    <a:prstGeom prst="rect">
                      <a:avLst/>
                    </a:prstGeom>
                    <a:ln>
                      <a:noFill/>
                    </a:ln>
                    <a:extLst>
                      <a:ext uri="{53640926-AAD7-44D8-BBD7-CCE9431645EC}">
                        <a14:shadowObscured xmlns:a14="http://schemas.microsoft.com/office/drawing/2010/main"/>
                      </a:ext>
                    </a:extLst>
                  </pic:spPr>
                </pic:pic>
              </a:graphicData>
            </a:graphic>
          </wp:inline>
        </w:drawing>
      </w:r>
      <w:r w:rsidR="00281E14" w:rsidRPr="00C71655">
        <w:rPr>
          <w:noProof/>
        </w:rPr>
        <w:drawing>
          <wp:inline distT="0" distB="0" distL="0" distR="0" wp14:anchorId="2BAB9754" wp14:editId="70D934F3">
            <wp:extent cx="2869035" cy="2089477"/>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maresult-2.png"/>
                    <pic:cNvPicPr/>
                  </pic:nvPicPr>
                  <pic:blipFill rotWithShape="1">
                    <a:blip r:embed="rId16">
                      <a:extLst>
                        <a:ext uri="{28A0092B-C50C-407E-A947-70E740481C1C}">
                          <a14:useLocalDpi xmlns:a14="http://schemas.microsoft.com/office/drawing/2010/main" val="0"/>
                        </a:ext>
                      </a:extLst>
                    </a:blip>
                    <a:srcRect l="5712" t="9959" r="8005" b="7872"/>
                    <a:stretch/>
                  </pic:blipFill>
                  <pic:spPr bwMode="auto">
                    <a:xfrm>
                      <a:off x="0" y="0"/>
                      <a:ext cx="2888393" cy="2103575"/>
                    </a:xfrm>
                    <a:prstGeom prst="rect">
                      <a:avLst/>
                    </a:prstGeom>
                    <a:ln>
                      <a:noFill/>
                    </a:ln>
                    <a:extLst>
                      <a:ext uri="{53640926-AAD7-44D8-BBD7-CCE9431645EC}">
                        <a14:shadowObscured xmlns:a14="http://schemas.microsoft.com/office/drawing/2010/main"/>
                      </a:ext>
                    </a:extLst>
                  </pic:spPr>
                </pic:pic>
              </a:graphicData>
            </a:graphic>
          </wp:inline>
        </w:drawing>
      </w:r>
    </w:p>
    <w:p w:rsidR="00D027FA" w:rsidRPr="00C71655" w:rsidRDefault="00281E14" w:rsidP="00281E14">
      <w:pPr>
        <w:pStyle w:val="Caption"/>
      </w:pPr>
      <w:r w:rsidRPr="00C71655">
        <w:t xml:space="preserve">      Figure </w:t>
      </w:r>
      <w:fldSimple w:instr=" SEQ Figure \* ARABIC ">
        <w:r w:rsidR="0011566E" w:rsidRPr="00C71655">
          <w:rPr>
            <w:noProof/>
          </w:rPr>
          <w:t>7</w:t>
        </w:r>
      </w:fldSimple>
      <w:r w:rsidRPr="00C71655">
        <w:t xml:space="preserve"> Predict result &amp; true value for next 20 minutes</w:t>
      </w:r>
      <w:r w:rsidRPr="00C71655">
        <w:tab/>
      </w:r>
      <w:r w:rsidRPr="00C71655">
        <w:tab/>
      </w:r>
      <w:r w:rsidRPr="00C71655">
        <w:tab/>
        <w:t xml:space="preserve">  Figure </w:t>
      </w:r>
      <w:fldSimple w:instr=" SEQ Figure \* ARABIC ">
        <w:r w:rsidR="0011566E" w:rsidRPr="00C71655">
          <w:rPr>
            <w:noProof/>
          </w:rPr>
          <w:t>8</w:t>
        </w:r>
      </w:fldSimple>
      <w:r w:rsidRPr="00C71655">
        <w:t xml:space="preserve"> Larger time</w:t>
      </w:r>
      <w:r w:rsidR="00033C68">
        <w:t xml:space="preserve"> </w:t>
      </w:r>
      <w:r w:rsidRPr="00C71655">
        <w:t>frame</w:t>
      </w:r>
    </w:p>
    <w:p w:rsidR="009C78FC" w:rsidRPr="00C71655" w:rsidRDefault="00F37EED" w:rsidP="006B589F">
      <w:pPr>
        <w:spacing w:line="480" w:lineRule="auto"/>
        <w:ind w:firstLine="720"/>
      </w:pPr>
      <w:r w:rsidRPr="00C71655">
        <w:t>Due to the above point, we introduce a non-parametric algorithm in Deep Learning called Long Short Term Memory (LSTM) model</w:t>
      </w:r>
      <w:r w:rsidR="00D027FA" w:rsidRPr="00C71655">
        <w:t>. Usually, implied volatilit</w:t>
      </w:r>
      <w:r w:rsidR="006B589F">
        <w:t>y</w:t>
      </w:r>
      <w:r w:rsidR="00D027FA" w:rsidRPr="00C71655">
        <w:t xml:space="preserve"> </w:t>
      </w:r>
      <w:r w:rsidR="006B589F">
        <w:t>is</w:t>
      </w:r>
      <w:r w:rsidR="00D027FA" w:rsidRPr="00C71655">
        <w:t xml:space="preserve"> predicted using time series model in short intervals. Some patterns and term structures may not be well captured, especially using high frequency data. </w:t>
      </w:r>
      <w:r w:rsidR="0082660B" w:rsidRPr="00C71655">
        <w:t xml:space="preserve">Park, Kim and Lee(2014) explores a variety of both parametric and non-parametric models in predicting option price and non-parametric models outperform traditional parametric models on </w:t>
      </w:r>
      <w:r w:rsidR="006B589F">
        <w:t xml:space="preserve">both </w:t>
      </w:r>
      <w:r w:rsidR="0082660B" w:rsidRPr="00C71655">
        <w:t>in-sample and out-of-sample predictions. Following Park et al, this paper choose</w:t>
      </w:r>
      <w:r w:rsidR="006B589F">
        <w:t>s</w:t>
      </w:r>
      <w:r w:rsidR="0082660B" w:rsidRPr="00C71655">
        <w:t xml:space="preserve"> from Neural Network algorithm and compare</w:t>
      </w:r>
      <w:r w:rsidR="006B589F">
        <w:t>s</w:t>
      </w:r>
      <w:r w:rsidR="0082660B" w:rsidRPr="00C71655">
        <w:t xml:space="preserve"> the prediction result with ARIMA model. </w:t>
      </w:r>
      <w:r w:rsidR="002A694C" w:rsidRPr="00C71655">
        <w:t xml:space="preserve">As Chou(1988) points out, volatility has the property of long term persistence. </w:t>
      </w:r>
      <w:r w:rsidR="0082660B" w:rsidRPr="00C71655">
        <w:t xml:space="preserve">Therefore, we chooses LSTM which could combine the long term properties and short term patterns. </w:t>
      </w:r>
    </w:p>
    <w:p w:rsidR="006B589F" w:rsidRPr="009A73B1" w:rsidRDefault="006B589F" w:rsidP="006B589F">
      <w:pPr>
        <w:pStyle w:val="ListParagraph"/>
        <w:numPr>
          <w:ilvl w:val="1"/>
          <w:numId w:val="13"/>
        </w:numPr>
        <w:spacing w:line="480" w:lineRule="auto"/>
        <w:rPr>
          <w:b/>
        </w:rPr>
      </w:pPr>
      <w:r>
        <w:rPr>
          <w:b/>
        </w:rPr>
        <w:t>LSTM Model</w:t>
      </w:r>
    </w:p>
    <w:p w:rsidR="00F327F9" w:rsidRPr="00C71655" w:rsidRDefault="001A397A" w:rsidP="00884815">
      <w:pPr>
        <w:spacing w:line="480" w:lineRule="auto"/>
        <w:ind w:firstLine="360"/>
      </w:pPr>
      <w:r w:rsidRPr="00C71655">
        <w:t>We use a stack of LSTM layers to construct our neural network model</w:t>
      </w:r>
      <w:r w:rsidR="00281E14" w:rsidRPr="00C71655">
        <w:t>, with individual LSTM layer having structure in Figure 4</w:t>
      </w:r>
      <w:r w:rsidRPr="00C71655">
        <w:t xml:space="preserve">. The </w:t>
      </w:r>
      <w:r w:rsidR="00281E14" w:rsidRPr="00C71655">
        <w:t>multiple</w:t>
      </w:r>
      <w:r w:rsidRPr="00C71655">
        <w:t xml:space="preserve"> layers </w:t>
      </w:r>
      <w:r w:rsidR="00281E14" w:rsidRPr="00C71655">
        <w:t xml:space="preserve">model </w:t>
      </w:r>
      <w:r w:rsidRPr="00C71655">
        <w:t xml:space="preserve">instead of single layer </w:t>
      </w:r>
      <w:r w:rsidR="00281E14" w:rsidRPr="00C71655">
        <w:t xml:space="preserve">is </w:t>
      </w:r>
      <w:r w:rsidR="00033C68">
        <w:t>conducive</w:t>
      </w:r>
      <w:r w:rsidR="00281E14" w:rsidRPr="00C71655">
        <w:t xml:space="preserve"> to </w:t>
      </w:r>
      <w:r w:rsidRPr="00C71655">
        <w:t xml:space="preserve">improve the </w:t>
      </w:r>
      <w:r w:rsidR="00281E14" w:rsidRPr="00C71655">
        <w:t xml:space="preserve">predictive </w:t>
      </w:r>
      <w:r w:rsidRPr="00C71655">
        <w:t>performance.</w:t>
      </w:r>
    </w:p>
    <w:p w:rsidR="00281E14" w:rsidRPr="00C71655" w:rsidRDefault="00281E14" w:rsidP="00164B1B">
      <w:pPr>
        <w:keepNext/>
        <w:spacing w:line="480" w:lineRule="auto"/>
      </w:pPr>
      <w:r w:rsidRPr="00C71655">
        <w:rPr>
          <w:noProof/>
        </w:rPr>
        <w:drawing>
          <wp:inline distT="0" distB="0" distL="0" distR="0">
            <wp:extent cx="5727700" cy="3479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titled Diagram.png"/>
                    <pic:cNvPicPr/>
                  </pic:nvPicPr>
                  <pic:blipFill>
                    <a:blip r:embed="rId17">
                      <a:extLst>
                        <a:ext uri="{28A0092B-C50C-407E-A947-70E740481C1C}">
                          <a14:useLocalDpi xmlns:a14="http://schemas.microsoft.com/office/drawing/2010/main" val="0"/>
                        </a:ext>
                      </a:extLst>
                    </a:blip>
                    <a:stretch>
                      <a:fillRect/>
                    </a:stretch>
                  </pic:blipFill>
                  <pic:spPr>
                    <a:xfrm>
                      <a:off x="0" y="0"/>
                      <a:ext cx="5862051" cy="356142"/>
                    </a:xfrm>
                    <a:prstGeom prst="rect">
                      <a:avLst/>
                    </a:prstGeom>
                  </pic:spPr>
                </pic:pic>
              </a:graphicData>
            </a:graphic>
          </wp:inline>
        </w:drawing>
      </w:r>
    </w:p>
    <w:p w:rsidR="001A397A" w:rsidRPr="00C71655" w:rsidRDefault="00281E14" w:rsidP="00164B1B">
      <w:pPr>
        <w:pStyle w:val="Caption"/>
        <w:spacing w:line="480" w:lineRule="auto"/>
        <w:jc w:val="center"/>
      </w:pPr>
      <w:r w:rsidRPr="00C71655">
        <w:t xml:space="preserve">Figure </w:t>
      </w:r>
      <w:fldSimple w:instr=" SEQ Figure \* ARABIC ">
        <w:r w:rsidR="0011566E" w:rsidRPr="00C71655">
          <w:rPr>
            <w:noProof/>
          </w:rPr>
          <w:t>9</w:t>
        </w:r>
      </w:fldSimple>
      <w:r w:rsidRPr="00C71655">
        <w:t xml:space="preserve"> Structure of multiple stacked LSTM layers</w:t>
      </w:r>
    </w:p>
    <w:p w:rsidR="00281E14" w:rsidRPr="00C71655" w:rsidRDefault="00281E14" w:rsidP="00884815">
      <w:pPr>
        <w:keepNext/>
        <w:spacing w:line="480" w:lineRule="auto"/>
        <w:ind w:firstLine="720"/>
        <w:rPr>
          <w:rFonts w:eastAsia="SimSun"/>
          <w:noProof/>
        </w:rPr>
      </w:pPr>
      <w:r w:rsidRPr="00C71655">
        <w:rPr>
          <w:rFonts w:eastAsia="SimSun"/>
        </w:rPr>
        <w:t xml:space="preserve">For the input into the LSTM, we apply the “moving window” method. We construct </w:t>
      </w:r>
      <w:r w:rsidR="00457BF1" w:rsidRPr="00C71655">
        <w:rPr>
          <w:rFonts w:eastAsia="SimSun"/>
        </w:rPr>
        <w:t>a list of IVIX data with window size 100 minutes and use it as input. Each corresponding</w:t>
      </w:r>
      <w:r w:rsidR="00884815" w:rsidRPr="00C71655">
        <w:rPr>
          <w:rFonts w:eastAsia="SimSun"/>
        </w:rPr>
        <w:t xml:space="preserve"> </w:t>
      </w:r>
      <w:r w:rsidR="00457BF1" w:rsidRPr="00C71655">
        <w:rPr>
          <w:rFonts w:eastAsia="SimSun"/>
        </w:rPr>
        <w:lastRenderedPageBreak/>
        <w:t>output is the next minute right after the 100 minutes input. Intuitively, it means that the most recent 100 minutes are taken as “short term memory”. Combining with the “long term memory” which is stored in the LSTM model, we can predict value of IVIX for the next minute.</w:t>
      </w:r>
      <w:r w:rsidR="0011566E" w:rsidRPr="00C71655">
        <w:rPr>
          <w:rFonts w:eastAsia="SimSun"/>
          <w:noProof/>
        </w:rPr>
        <w:t xml:space="preserve"> </w:t>
      </w:r>
    </w:p>
    <w:p w:rsidR="0011566E" w:rsidRPr="00C71655" w:rsidRDefault="0011566E" w:rsidP="0011566E">
      <w:pPr>
        <w:keepNext/>
        <w:spacing w:line="360" w:lineRule="auto"/>
        <w:jc w:val="center"/>
      </w:pPr>
      <w:r w:rsidRPr="00C71655">
        <w:rPr>
          <w:noProof/>
        </w:rPr>
        <w:drawing>
          <wp:inline distT="0" distB="0" distL="0" distR="0">
            <wp:extent cx="2611465" cy="193498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stmpredict-2.png"/>
                    <pic:cNvPicPr/>
                  </pic:nvPicPr>
                  <pic:blipFill rotWithShape="1">
                    <a:blip r:embed="rId18">
                      <a:extLst>
                        <a:ext uri="{28A0092B-C50C-407E-A947-70E740481C1C}">
                          <a14:useLocalDpi xmlns:a14="http://schemas.microsoft.com/office/drawing/2010/main" val="0"/>
                        </a:ext>
                      </a:extLst>
                    </a:blip>
                    <a:srcRect l="4330" t="10261" r="8936" b="5703"/>
                    <a:stretch/>
                  </pic:blipFill>
                  <pic:spPr bwMode="auto">
                    <a:xfrm>
                      <a:off x="0" y="0"/>
                      <a:ext cx="2625546" cy="1945413"/>
                    </a:xfrm>
                    <a:prstGeom prst="rect">
                      <a:avLst/>
                    </a:prstGeom>
                    <a:ln>
                      <a:noFill/>
                    </a:ln>
                    <a:extLst>
                      <a:ext uri="{53640926-AAD7-44D8-BBD7-CCE9431645EC}">
                        <a14:shadowObscured xmlns:a14="http://schemas.microsoft.com/office/drawing/2010/main"/>
                      </a:ext>
                    </a:extLst>
                  </pic:spPr>
                </pic:pic>
              </a:graphicData>
            </a:graphic>
          </wp:inline>
        </w:drawing>
      </w:r>
    </w:p>
    <w:p w:rsidR="0011566E" w:rsidRPr="00C71655" w:rsidRDefault="0011566E" w:rsidP="0011566E">
      <w:pPr>
        <w:pStyle w:val="Caption"/>
        <w:jc w:val="center"/>
      </w:pPr>
      <w:r w:rsidRPr="00C71655">
        <w:t xml:space="preserve">Figure </w:t>
      </w:r>
      <w:fldSimple w:instr=" SEQ Figure \* ARABIC ">
        <w:r w:rsidRPr="00C71655">
          <w:rPr>
            <w:noProof/>
          </w:rPr>
          <w:t>10</w:t>
        </w:r>
      </w:fldSimple>
      <w:r w:rsidRPr="00C71655">
        <w:t xml:space="preserve"> LSTM prediction result of next 20 minutes</w:t>
      </w:r>
    </w:p>
    <w:p w:rsidR="0011566E" w:rsidRPr="00C71655" w:rsidRDefault="0011566E" w:rsidP="0011566E">
      <w:pPr>
        <w:keepNext/>
        <w:spacing w:line="360" w:lineRule="auto"/>
        <w:jc w:val="center"/>
      </w:pPr>
      <w:r w:rsidRPr="00C71655">
        <w:rPr>
          <w:rFonts w:eastAsia="SimSun"/>
          <w:noProof/>
        </w:rPr>
        <w:drawing>
          <wp:inline distT="0" distB="0" distL="0" distR="0">
            <wp:extent cx="4463534" cy="2533973"/>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stmresult-3.png"/>
                    <pic:cNvPicPr/>
                  </pic:nvPicPr>
                  <pic:blipFill rotWithShape="1">
                    <a:blip r:embed="rId19" cstate="print">
                      <a:extLst>
                        <a:ext uri="{28A0092B-C50C-407E-A947-70E740481C1C}">
                          <a14:useLocalDpi xmlns:a14="http://schemas.microsoft.com/office/drawing/2010/main" val="0"/>
                        </a:ext>
                      </a:extLst>
                    </a:blip>
                    <a:srcRect l="7495" t="9761" r="9088" b="6795"/>
                    <a:stretch/>
                  </pic:blipFill>
                  <pic:spPr bwMode="auto">
                    <a:xfrm>
                      <a:off x="0" y="0"/>
                      <a:ext cx="4474638" cy="2540277"/>
                    </a:xfrm>
                    <a:prstGeom prst="rect">
                      <a:avLst/>
                    </a:prstGeom>
                    <a:ln>
                      <a:noFill/>
                    </a:ln>
                    <a:extLst>
                      <a:ext uri="{53640926-AAD7-44D8-BBD7-CCE9431645EC}">
                        <a14:shadowObscured xmlns:a14="http://schemas.microsoft.com/office/drawing/2010/main"/>
                      </a:ext>
                    </a:extLst>
                  </pic:spPr>
                </pic:pic>
              </a:graphicData>
            </a:graphic>
          </wp:inline>
        </w:drawing>
      </w:r>
    </w:p>
    <w:p w:rsidR="00727474" w:rsidRPr="00C71655" w:rsidRDefault="0011566E" w:rsidP="0011566E">
      <w:pPr>
        <w:pStyle w:val="Caption"/>
        <w:jc w:val="center"/>
        <w:rPr>
          <w:rFonts w:eastAsia="SimSun"/>
        </w:rPr>
      </w:pPr>
      <w:r w:rsidRPr="00C71655">
        <w:t xml:space="preserve">Figure </w:t>
      </w:r>
      <w:fldSimple w:instr=" SEQ Figure \* ARABIC ">
        <w:r w:rsidRPr="00C71655">
          <w:rPr>
            <w:noProof/>
          </w:rPr>
          <w:t>11</w:t>
        </w:r>
      </w:fldSimple>
      <w:r w:rsidRPr="00C71655">
        <w:t xml:space="preserve"> LSTM prediction result in a longer timeframe</w:t>
      </w:r>
    </w:p>
    <w:tbl>
      <w:tblPr>
        <w:tblStyle w:val="TableGrid"/>
        <w:tblW w:w="0" w:type="auto"/>
        <w:tblInd w:w="562" w:type="dxa"/>
        <w:tblLook w:val="04A0" w:firstRow="1" w:lastRow="0" w:firstColumn="1" w:lastColumn="0" w:noHBand="0" w:noVBand="1"/>
      </w:tblPr>
      <w:tblGrid>
        <w:gridCol w:w="2693"/>
        <w:gridCol w:w="2693"/>
        <w:gridCol w:w="2694"/>
      </w:tblGrid>
      <w:tr w:rsidR="0011566E" w:rsidRPr="00C71655" w:rsidTr="004630BA">
        <w:tc>
          <w:tcPr>
            <w:tcW w:w="2693" w:type="dxa"/>
            <w:shd w:val="clear" w:color="auto" w:fill="AEAAAA" w:themeFill="background2" w:themeFillShade="BF"/>
          </w:tcPr>
          <w:p w:rsidR="0011566E" w:rsidRPr="00C71655" w:rsidRDefault="0011566E" w:rsidP="00987127">
            <w:pPr>
              <w:spacing w:line="360" w:lineRule="auto"/>
              <w:rPr>
                <w:rFonts w:eastAsia="SimSun"/>
              </w:rPr>
            </w:pPr>
          </w:p>
        </w:tc>
        <w:tc>
          <w:tcPr>
            <w:tcW w:w="2693" w:type="dxa"/>
            <w:shd w:val="clear" w:color="auto" w:fill="AEAAAA" w:themeFill="background2" w:themeFillShade="BF"/>
          </w:tcPr>
          <w:p w:rsidR="0011566E" w:rsidRPr="00C71655" w:rsidRDefault="0011566E" w:rsidP="00987127">
            <w:pPr>
              <w:spacing w:line="360" w:lineRule="auto"/>
              <w:rPr>
                <w:rFonts w:eastAsia="SimSun"/>
              </w:rPr>
            </w:pPr>
            <w:r w:rsidRPr="00C71655">
              <w:rPr>
                <w:rFonts w:eastAsia="SimSun"/>
              </w:rPr>
              <w:t>ARIMA</w:t>
            </w:r>
          </w:p>
        </w:tc>
        <w:tc>
          <w:tcPr>
            <w:tcW w:w="2694" w:type="dxa"/>
            <w:shd w:val="clear" w:color="auto" w:fill="AEAAAA" w:themeFill="background2" w:themeFillShade="BF"/>
          </w:tcPr>
          <w:p w:rsidR="0011566E" w:rsidRPr="00C71655" w:rsidRDefault="0011566E" w:rsidP="00987127">
            <w:pPr>
              <w:spacing w:line="360" w:lineRule="auto"/>
              <w:rPr>
                <w:rFonts w:eastAsia="SimSun"/>
              </w:rPr>
            </w:pPr>
            <w:r w:rsidRPr="00C71655">
              <w:rPr>
                <w:rFonts w:eastAsia="SimSun"/>
              </w:rPr>
              <w:t>LSTM</w:t>
            </w:r>
          </w:p>
        </w:tc>
      </w:tr>
      <w:tr w:rsidR="0011566E" w:rsidRPr="00C71655" w:rsidTr="004630BA">
        <w:tc>
          <w:tcPr>
            <w:tcW w:w="2693" w:type="dxa"/>
          </w:tcPr>
          <w:p w:rsidR="0011566E" w:rsidRPr="00C71655" w:rsidRDefault="0011566E" w:rsidP="00987127">
            <w:pPr>
              <w:spacing w:line="360" w:lineRule="auto"/>
              <w:rPr>
                <w:rFonts w:eastAsia="SimSun"/>
              </w:rPr>
            </w:pPr>
            <w:r w:rsidRPr="00C71655">
              <w:rPr>
                <w:rFonts w:eastAsia="SimSun"/>
              </w:rPr>
              <w:t>MAPE</w:t>
            </w:r>
          </w:p>
        </w:tc>
        <w:tc>
          <w:tcPr>
            <w:tcW w:w="2693" w:type="dxa"/>
          </w:tcPr>
          <w:p w:rsidR="00B37567" w:rsidRPr="00C71655" w:rsidRDefault="00B37567" w:rsidP="00B37567">
            <w:pPr>
              <w:pStyle w:val="HTMLPreformatted"/>
              <w:wordWrap w:val="0"/>
              <w:textAlignment w:val="baseline"/>
              <w:rPr>
                <w:rFonts w:ascii="Times New Roman" w:hAnsi="Times New Roman" w:cs="Times New Roman"/>
                <w:color w:val="000000"/>
                <w:sz w:val="24"/>
                <w:szCs w:val="24"/>
              </w:rPr>
            </w:pPr>
            <w:r w:rsidRPr="00C71655">
              <w:rPr>
                <w:rFonts w:ascii="Times New Roman" w:hAnsi="Times New Roman" w:cs="Times New Roman"/>
                <w:color w:val="000000"/>
                <w:sz w:val="24"/>
                <w:szCs w:val="24"/>
              </w:rPr>
              <w:t>121.06719354688633</w:t>
            </w:r>
          </w:p>
          <w:p w:rsidR="0011566E" w:rsidRPr="00C71655" w:rsidRDefault="0011566E" w:rsidP="00987127">
            <w:pPr>
              <w:spacing w:line="360" w:lineRule="auto"/>
              <w:rPr>
                <w:rFonts w:eastAsia="SimSun"/>
              </w:rPr>
            </w:pPr>
          </w:p>
        </w:tc>
        <w:tc>
          <w:tcPr>
            <w:tcW w:w="2694" w:type="dxa"/>
          </w:tcPr>
          <w:p w:rsidR="00D941D6" w:rsidRPr="00C71655" w:rsidRDefault="00D941D6" w:rsidP="00D941D6">
            <w:pPr>
              <w:pStyle w:val="HTMLPreformatted"/>
              <w:wordWrap w:val="0"/>
              <w:textAlignment w:val="baseline"/>
              <w:rPr>
                <w:rFonts w:ascii="Times New Roman" w:hAnsi="Times New Roman" w:cs="Times New Roman"/>
                <w:color w:val="000000"/>
                <w:sz w:val="24"/>
                <w:szCs w:val="24"/>
              </w:rPr>
            </w:pPr>
            <w:r w:rsidRPr="00C71655">
              <w:rPr>
                <w:rFonts w:ascii="Times New Roman" w:hAnsi="Times New Roman" w:cs="Times New Roman"/>
                <w:color w:val="000000"/>
                <w:sz w:val="24"/>
                <w:szCs w:val="24"/>
              </w:rPr>
              <w:t>0.6228053212579682</w:t>
            </w:r>
          </w:p>
          <w:p w:rsidR="0011566E" w:rsidRPr="00C71655" w:rsidRDefault="0011566E" w:rsidP="00987127">
            <w:pPr>
              <w:spacing w:line="360" w:lineRule="auto"/>
              <w:rPr>
                <w:rFonts w:eastAsia="SimSun"/>
              </w:rPr>
            </w:pPr>
          </w:p>
        </w:tc>
      </w:tr>
      <w:tr w:rsidR="0011566E" w:rsidRPr="00C71655" w:rsidTr="004630BA">
        <w:tc>
          <w:tcPr>
            <w:tcW w:w="2693" w:type="dxa"/>
          </w:tcPr>
          <w:p w:rsidR="0011566E" w:rsidRPr="00C71655" w:rsidRDefault="0011566E" w:rsidP="00987127">
            <w:pPr>
              <w:spacing w:line="360" w:lineRule="auto"/>
              <w:rPr>
                <w:rFonts w:eastAsia="SimSun"/>
              </w:rPr>
            </w:pPr>
            <w:r w:rsidRPr="00C71655">
              <w:rPr>
                <w:rFonts w:eastAsia="SimSun"/>
              </w:rPr>
              <w:t>RMSE</w:t>
            </w:r>
          </w:p>
        </w:tc>
        <w:tc>
          <w:tcPr>
            <w:tcW w:w="2693" w:type="dxa"/>
          </w:tcPr>
          <w:p w:rsidR="00B37567" w:rsidRPr="00C71655" w:rsidRDefault="00B37567" w:rsidP="00B37567">
            <w:pPr>
              <w:pStyle w:val="HTMLPreformatted"/>
              <w:wordWrap w:val="0"/>
              <w:textAlignment w:val="baseline"/>
              <w:rPr>
                <w:rFonts w:ascii="Times New Roman" w:hAnsi="Times New Roman" w:cs="Times New Roman"/>
                <w:color w:val="000000"/>
                <w:sz w:val="24"/>
                <w:szCs w:val="24"/>
              </w:rPr>
            </w:pPr>
            <w:r w:rsidRPr="00C71655">
              <w:rPr>
                <w:rFonts w:ascii="Times New Roman" w:hAnsi="Times New Roman" w:cs="Times New Roman"/>
                <w:color w:val="000000"/>
                <w:sz w:val="24"/>
                <w:szCs w:val="24"/>
              </w:rPr>
              <w:t>0.27013212030762398</w:t>
            </w:r>
          </w:p>
          <w:p w:rsidR="0011566E" w:rsidRPr="00C71655" w:rsidRDefault="0011566E" w:rsidP="00987127">
            <w:pPr>
              <w:spacing w:line="360" w:lineRule="auto"/>
              <w:rPr>
                <w:rFonts w:eastAsia="SimSun"/>
              </w:rPr>
            </w:pPr>
          </w:p>
        </w:tc>
        <w:tc>
          <w:tcPr>
            <w:tcW w:w="2694" w:type="dxa"/>
          </w:tcPr>
          <w:p w:rsidR="00D941D6" w:rsidRPr="00C71655" w:rsidRDefault="00D941D6" w:rsidP="00D941D6">
            <w:pPr>
              <w:pStyle w:val="HTMLPreformatted"/>
              <w:wordWrap w:val="0"/>
              <w:textAlignment w:val="baseline"/>
              <w:rPr>
                <w:rFonts w:ascii="Times New Roman" w:hAnsi="Times New Roman" w:cs="Times New Roman"/>
                <w:color w:val="000000"/>
                <w:sz w:val="24"/>
                <w:szCs w:val="24"/>
              </w:rPr>
            </w:pPr>
            <w:r w:rsidRPr="00C71655">
              <w:rPr>
                <w:rFonts w:ascii="Times New Roman" w:hAnsi="Times New Roman" w:cs="Times New Roman"/>
                <w:color w:val="000000"/>
                <w:sz w:val="24"/>
                <w:szCs w:val="24"/>
              </w:rPr>
              <w:t>0.10707219599370389</w:t>
            </w:r>
          </w:p>
          <w:p w:rsidR="0011566E" w:rsidRPr="00C71655" w:rsidRDefault="0011566E" w:rsidP="00987127">
            <w:pPr>
              <w:spacing w:line="360" w:lineRule="auto"/>
              <w:rPr>
                <w:rFonts w:eastAsia="SimSun"/>
              </w:rPr>
            </w:pPr>
          </w:p>
        </w:tc>
      </w:tr>
      <w:tr w:rsidR="0011566E" w:rsidRPr="00C71655" w:rsidTr="004630BA">
        <w:tc>
          <w:tcPr>
            <w:tcW w:w="2693" w:type="dxa"/>
          </w:tcPr>
          <w:p w:rsidR="0011566E" w:rsidRPr="00C71655" w:rsidRDefault="0011566E" w:rsidP="00987127">
            <w:pPr>
              <w:spacing w:line="360" w:lineRule="auto"/>
              <w:rPr>
                <w:rFonts w:eastAsia="SimSun"/>
              </w:rPr>
            </w:pPr>
            <w:r w:rsidRPr="00C71655">
              <w:rPr>
                <w:rFonts w:eastAsia="SimSun"/>
              </w:rPr>
              <w:t>MASE</w:t>
            </w:r>
          </w:p>
        </w:tc>
        <w:tc>
          <w:tcPr>
            <w:tcW w:w="2693" w:type="dxa"/>
          </w:tcPr>
          <w:p w:rsidR="00B37567" w:rsidRPr="00C71655" w:rsidRDefault="00B37567" w:rsidP="00B37567">
            <w:pPr>
              <w:pStyle w:val="HTMLPreformatted"/>
              <w:wordWrap w:val="0"/>
              <w:textAlignment w:val="baseline"/>
              <w:rPr>
                <w:rFonts w:ascii="Times New Roman" w:hAnsi="Times New Roman" w:cs="Times New Roman"/>
                <w:color w:val="000000"/>
                <w:sz w:val="24"/>
                <w:szCs w:val="24"/>
              </w:rPr>
            </w:pPr>
            <w:r w:rsidRPr="00C71655">
              <w:rPr>
                <w:rFonts w:ascii="Times New Roman" w:hAnsi="Times New Roman" w:cs="Times New Roman"/>
                <w:color w:val="000000"/>
                <w:sz w:val="24"/>
                <w:szCs w:val="24"/>
              </w:rPr>
              <w:t>0.6972520013247729</w:t>
            </w:r>
          </w:p>
          <w:p w:rsidR="0011566E" w:rsidRPr="00C71655" w:rsidRDefault="0011566E" w:rsidP="00987127">
            <w:pPr>
              <w:spacing w:line="360" w:lineRule="auto"/>
              <w:rPr>
                <w:rFonts w:eastAsia="SimSun"/>
              </w:rPr>
            </w:pPr>
          </w:p>
        </w:tc>
        <w:tc>
          <w:tcPr>
            <w:tcW w:w="2694" w:type="dxa"/>
          </w:tcPr>
          <w:p w:rsidR="00D941D6" w:rsidRPr="00C71655" w:rsidRDefault="00D941D6" w:rsidP="00D941D6">
            <w:pPr>
              <w:pStyle w:val="HTMLPreformatted"/>
              <w:wordWrap w:val="0"/>
              <w:textAlignment w:val="baseline"/>
              <w:rPr>
                <w:rFonts w:ascii="Times New Roman" w:hAnsi="Times New Roman" w:cs="Times New Roman"/>
                <w:color w:val="000000"/>
                <w:sz w:val="24"/>
                <w:szCs w:val="24"/>
              </w:rPr>
            </w:pPr>
            <w:r w:rsidRPr="00C71655">
              <w:rPr>
                <w:rFonts w:ascii="Times New Roman" w:hAnsi="Times New Roman" w:cs="Times New Roman"/>
                <w:color w:val="000000"/>
                <w:sz w:val="24"/>
                <w:szCs w:val="24"/>
              </w:rPr>
              <w:t>4.314042275680275</w:t>
            </w:r>
          </w:p>
          <w:p w:rsidR="0011566E" w:rsidRPr="00C71655" w:rsidRDefault="0011566E" w:rsidP="00987127">
            <w:pPr>
              <w:spacing w:line="360" w:lineRule="auto"/>
              <w:rPr>
                <w:rFonts w:eastAsia="SimSun"/>
              </w:rPr>
            </w:pPr>
          </w:p>
        </w:tc>
      </w:tr>
    </w:tbl>
    <w:p w:rsidR="0011566E" w:rsidRPr="00C71655" w:rsidRDefault="0011566E" w:rsidP="00987127">
      <w:pPr>
        <w:spacing w:line="360" w:lineRule="auto"/>
        <w:rPr>
          <w:rFonts w:eastAsia="SimSun"/>
        </w:rPr>
      </w:pPr>
    </w:p>
    <w:p w:rsidR="00987127" w:rsidRPr="00C71655" w:rsidRDefault="008D6BEA" w:rsidP="006B589F">
      <w:pPr>
        <w:spacing w:line="480" w:lineRule="auto"/>
        <w:ind w:firstLine="720"/>
        <w:rPr>
          <w:rFonts w:eastAsia="SimSun"/>
        </w:rPr>
      </w:pPr>
      <w:r w:rsidRPr="00C71655">
        <w:rPr>
          <w:rFonts w:eastAsia="SimSun"/>
        </w:rPr>
        <w:lastRenderedPageBreak/>
        <w:t xml:space="preserve">Prediction result is shown as </w:t>
      </w:r>
      <w:r w:rsidR="0011566E" w:rsidRPr="00C71655">
        <w:rPr>
          <w:rFonts w:eastAsia="SimSun"/>
        </w:rPr>
        <w:t>above</w:t>
      </w:r>
      <w:r w:rsidR="00D911BA" w:rsidRPr="00C71655">
        <w:rPr>
          <w:rFonts w:eastAsia="SimSun"/>
        </w:rPr>
        <w:t xml:space="preserve">. From the graph, LSTM outperforms traditional ARIMA model in predicting the next 20 minutes. It is also verified by the smaller Mean Absolute Percentage Error(MAPE), Root Mean Square Error(RMSE) of LSTM than ARIMA model. </w:t>
      </w:r>
      <w:r w:rsidR="007F28AD" w:rsidRPr="00C71655">
        <w:rPr>
          <w:rFonts w:eastAsia="SimSun"/>
        </w:rPr>
        <w:t xml:space="preserve">We notice that the Mean Absolute Scaled Error (MASE) of LSTM is larger than 1 while MASE of ARIMA is smaller than 1. MASE estimate examines the model and test whether it is better than the prediction using average value. From the result, ARIMA is </w:t>
      </w:r>
      <w:r w:rsidR="000C5649" w:rsidRPr="00C71655">
        <w:rPr>
          <w:rFonts w:eastAsia="SimSun"/>
        </w:rPr>
        <w:t xml:space="preserve">better than the average value and LSTM is worse than the average value. It is because we use high frequency data and the change between minutes is very small, thus having average value of 0. When predicting over short term(next several minutes), it is possible that average value can have a better performance than other models. However, average value is not able to capture any term structure or fluctuations of IVIX, leading to a bad performance in the long term. </w:t>
      </w:r>
      <w:r w:rsidR="00174873" w:rsidRPr="00C71655">
        <w:rPr>
          <w:rFonts w:eastAsia="SimSun"/>
        </w:rPr>
        <w:t xml:space="preserve">Judging from MAPE, RMSE and the prediction graph, LSTM can capture the trend of implied volatility than ARIMA model. </w:t>
      </w:r>
      <w:r w:rsidR="00D911BA" w:rsidRPr="00C71655">
        <w:rPr>
          <w:rFonts w:eastAsia="SimSun"/>
        </w:rPr>
        <w:t>We could therefore conclude that implied volatility has predictive power of future implied volatility and LSTM could provide more accurate prediction than ARIMA.</w:t>
      </w:r>
    </w:p>
    <w:p w:rsidR="0056336C" w:rsidRPr="006B589F" w:rsidRDefault="0056336C" w:rsidP="006B589F">
      <w:pPr>
        <w:pStyle w:val="ListParagraph"/>
        <w:numPr>
          <w:ilvl w:val="0"/>
          <w:numId w:val="13"/>
        </w:numPr>
        <w:spacing w:line="480" w:lineRule="auto"/>
        <w:rPr>
          <w:rFonts w:eastAsia="SimSun"/>
          <w:b/>
          <w:sz w:val="32"/>
        </w:rPr>
      </w:pPr>
      <w:r w:rsidRPr="006B589F">
        <w:rPr>
          <w:rFonts w:eastAsia="SimSun"/>
          <w:b/>
          <w:sz w:val="32"/>
        </w:rPr>
        <w:t>Conclusion</w:t>
      </w:r>
    </w:p>
    <w:p w:rsidR="0086714B" w:rsidRPr="00C71655" w:rsidRDefault="00EE1749" w:rsidP="006B589F">
      <w:pPr>
        <w:spacing w:line="480" w:lineRule="auto"/>
        <w:ind w:firstLine="720"/>
      </w:pPr>
      <w:r w:rsidRPr="00C71655">
        <w:t xml:space="preserve">As a conclusion, we </w:t>
      </w:r>
      <w:r w:rsidR="00B01FAC" w:rsidRPr="00C71655">
        <w:t xml:space="preserve">use high frequency data on </w:t>
      </w:r>
      <w:r w:rsidR="00066E86" w:rsidRPr="00C71655">
        <w:t xml:space="preserve">IVIX in the Chinese market and provide empirical evidence </w:t>
      </w:r>
      <w:r w:rsidR="00770C85">
        <w:t>on various analysis</w:t>
      </w:r>
      <w:r w:rsidR="00066E86" w:rsidRPr="00C71655">
        <w:t xml:space="preserve">. </w:t>
      </w:r>
      <w:r w:rsidR="00770C85">
        <w:t>Regarding the relationship between IVIX and underlying return, we</w:t>
      </w:r>
      <w:r w:rsidR="00066E86" w:rsidRPr="00C71655">
        <w:t xml:space="preserve"> find that</w:t>
      </w:r>
      <w:r w:rsidR="00770C85">
        <w:t xml:space="preserve"> although IVIX and underlying return is overall negative correlated, </w:t>
      </w:r>
      <w:r w:rsidR="00066E86" w:rsidRPr="00C71655">
        <w:t xml:space="preserve">negative return is negatively correlated with IVIX, while positive return is positively correlated with IVIX, </w:t>
      </w:r>
      <w:r w:rsidR="00770C85">
        <w:t xml:space="preserve">which is </w:t>
      </w:r>
      <w:r w:rsidR="00066E86" w:rsidRPr="00C71655">
        <w:t xml:space="preserve">different from the significant negative relation observed in the US market. Asymmetric effect and size effect are significant. Lagged terms has little impact on IVIX comparing to contemporaneous </w:t>
      </w:r>
      <w:r w:rsidR="004630BA" w:rsidRPr="00C71655">
        <w:t xml:space="preserve">term. This unique phenomenon may due to the investor structure in Chinese market, which </w:t>
      </w:r>
      <w:r w:rsidR="00770C85">
        <w:t>are</w:t>
      </w:r>
      <w:r w:rsidR="004630BA" w:rsidRPr="00C71655">
        <w:t xml:space="preserve"> dominated by retail investors instead of institutional investors. The insignificance of lagged term could be explained using </w:t>
      </w:r>
      <w:r w:rsidR="004630BA" w:rsidRPr="00C71655">
        <w:lastRenderedPageBreak/>
        <w:t xml:space="preserve">behavioral theories. </w:t>
      </w:r>
      <w:r w:rsidR="00DC5658" w:rsidRPr="00C71655">
        <w:t>Both daily IVIX and daily GARCH(1,1) estimate have predictive power on future daily realized volatility. IVIX contributes more than GARCH(1,1). The mixture of the two estimates could provide more accurate predictions than any of the two univariate model</w:t>
      </w:r>
      <w:r w:rsidR="008F14DF">
        <w:t>s</w:t>
      </w:r>
      <w:r w:rsidR="00DC5658" w:rsidRPr="00C71655">
        <w:t xml:space="preserve">. </w:t>
      </w:r>
      <w:r w:rsidR="004630BA" w:rsidRPr="00C71655">
        <w:t xml:space="preserve">As for the predictive power of IVIX </w:t>
      </w:r>
      <w:r w:rsidR="00DC5658" w:rsidRPr="00C71655">
        <w:t>on</w:t>
      </w:r>
      <w:r w:rsidR="004630BA" w:rsidRPr="00C71655">
        <w:t xml:space="preserve"> future implied volatilities, we compare ARIMA and LSTM model performance using MAPE, RMSE and MASE. Combining the results, LSTM </w:t>
      </w:r>
      <w:r w:rsidR="00DC5658" w:rsidRPr="00C71655">
        <w:t>has better performance</w:t>
      </w:r>
      <w:r w:rsidR="004630BA" w:rsidRPr="00C71655">
        <w:t xml:space="preserve"> than ARIMA model.</w:t>
      </w:r>
    </w:p>
    <w:p w:rsidR="00FA6C44" w:rsidRPr="00C71655" w:rsidRDefault="00FA6C44" w:rsidP="00FA6C44">
      <w:pPr>
        <w:spacing w:line="480" w:lineRule="auto"/>
        <w:rPr>
          <w:b/>
          <w:sz w:val="28"/>
        </w:rPr>
      </w:pPr>
      <w:r w:rsidRPr="00C71655">
        <w:rPr>
          <w:b/>
          <w:sz w:val="28"/>
        </w:rPr>
        <w:t>Acknowledgments</w:t>
      </w:r>
    </w:p>
    <w:p w:rsidR="00FA6C44" w:rsidRPr="00C71655" w:rsidRDefault="00FA6C44" w:rsidP="00FA6C44">
      <w:pPr>
        <w:spacing w:line="480" w:lineRule="auto"/>
        <w:ind w:firstLine="720"/>
      </w:pPr>
      <w:r w:rsidRPr="00C71655">
        <w:t>I would like to express my deep gratitude to my thesis advisor, Professor Menachem Brenner, for his patient guidance and constructive advice throughout the study. Professor Brenner provides me with valuable insights into this topic, as well as statistical models I could explore.</w:t>
      </w:r>
    </w:p>
    <w:p w:rsidR="00FA6C44" w:rsidRPr="00C71655" w:rsidRDefault="00FA6C44" w:rsidP="00FA6C44">
      <w:pPr>
        <w:spacing w:line="480" w:lineRule="auto"/>
        <w:ind w:firstLine="720"/>
      </w:pPr>
      <w:r w:rsidRPr="00C71655">
        <w:t>I would like to thank Professor Marti Subrahmanyam and Professor Christina Wang and Professor Jens Leth Hougaard for coordinating this Business Honors Program and arranging fantastic speaker series.</w:t>
      </w:r>
    </w:p>
    <w:p w:rsidR="00FA6C44" w:rsidRPr="00C71655" w:rsidRDefault="00FA6C44" w:rsidP="00B95CDF">
      <w:pPr>
        <w:spacing w:line="480" w:lineRule="auto"/>
        <w:ind w:firstLine="720"/>
      </w:pPr>
      <w:r w:rsidRPr="00C71655">
        <w:t>My grateful thanks also extends to Professor Xin Zhou and Research fellow Zhengyun Jiang and Ruitao Wang from Volatility Institute in NYUSH. They kindly provide me with empirical data in my study and constant inspirations and support along the way.</w:t>
      </w:r>
    </w:p>
    <w:p w:rsidR="000E2834" w:rsidRPr="00C71655" w:rsidRDefault="0086714B" w:rsidP="0086714B">
      <w:r w:rsidRPr="00C71655">
        <w:br w:type="page"/>
      </w:r>
    </w:p>
    <w:p w:rsidR="00FF6EFF" w:rsidRPr="00C71655" w:rsidRDefault="0045372E" w:rsidP="0045372E">
      <w:pPr>
        <w:jc w:val="center"/>
        <w:rPr>
          <w:sz w:val="36"/>
        </w:rPr>
      </w:pPr>
      <w:r w:rsidRPr="00C71655">
        <w:rPr>
          <w:sz w:val="36"/>
        </w:rPr>
        <w:lastRenderedPageBreak/>
        <w:t>Appendix</w:t>
      </w:r>
    </w:p>
    <w:p w:rsidR="004630BA" w:rsidRPr="00C71655" w:rsidRDefault="004630BA" w:rsidP="0045372E">
      <w:pPr>
        <w:jc w:val="center"/>
      </w:pPr>
    </w:p>
    <w:p w:rsidR="0045372E" w:rsidRPr="00C71655" w:rsidRDefault="0045372E" w:rsidP="00C62D62">
      <w:r w:rsidRPr="00C71655">
        <w:rPr>
          <w:rFonts w:eastAsia="SimSun"/>
          <w:noProof/>
        </w:rPr>
        <w:drawing>
          <wp:inline distT="0" distB="0" distL="0" distR="0" wp14:anchorId="65CC992B" wp14:editId="751D06BF">
            <wp:extent cx="5727700" cy="3439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439160"/>
                    </a:xfrm>
                    <a:prstGeom prst="rect">
                      <a:avLst/>
                    </a:prstGeom>
                  </pic:spPr>
                </pic:pic>
              </a:graphicData>
            </a:graphic>
          </wp:inline>
        </w:drawing>
      </w:r>
    </w:p>
    <w:p w:rsidR="0045372E" w:rsidRPr="00C71655" w:rsidRDefault="0045372E" w:rsidP="00C62D62">
      <w:r w:rsidRPr="00C71655">
        <w:rPr>
          <w:rFonts w:eastAsia="SimSun"/>
          <w:noProof/>
        </w:rPr>
        <w:drawing>
          <wp:inline distT="0" distB="0" distL="0" distR="0" wp14:anchorId="4DB2C577" wp14:editId="5E4E386D">
            <wp:extent cx="5727700" cy="3408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949"/>
                    <a:stretch/>
                  </pic:blipFill>
                  <pic:spPr bwMode="auto">
                    <a:xfrm>
                      <a:off x="0" y="0"/>
                      <a:ext cx="5727700" cy="3408680"/>
                    </a:xfrm>
                    <a:prstGeom prst="rect">
                      <a:avLst/>
                    </a:prstGeom>
                    <a:ln>
                      <a:noFill/>
                    </a:ln>
                    <a:extLst>
                      <a:ext uri="{53640926-AAD7-44D8-BBD7-CCE9431645EC}">
                        <a14:shadowObscured xmlns:a14="http://schemas.microsoft.com/office/drawing/2010/main"/>
                      </a:ext>
                    </a:extLst>
                  </pic:spPr>
                </pic:pic>
              </a:graphicData>
            </a:graphic>
          </wp:inline>
        </w:drawing>
      </w:r>
    </w:p>
    <w:p w:rsidR="0045372E" w:rsidRPr="00C71655" w:rsidRDefault="0045372E" w:rsidP="00C62D62">
      <w:r w:rsidRPr="00C71655">
        <w:rPr>
          <w:rFonts w:eastAsia="SimSun"/>
          <w:noProof/>
        </w:rPr>
        <w:drawing>
          <wp:inline distT="0" distB="0" distL="0" distR="0" wp14:anchorId="26309759" wp14:editId="312AEBA1">
            <wp:extent cx="5727700" cy="1485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1485265"/>
                    </a:xfrm>
                    <a:prstGeom prst="rect">
                      <a:avLst/>
                    </a:prstGeom>
                  </pic:spPr>
                </pic:pic>
              </a:graphicData>
            </a:graphic>
          </wp:inline>
        </w:drawing>
      </w:r>
    </w:p>
    <w:p w:rsidR="0045372E" w:rsidRPr="00C71655" w:rsidRDefault="0045372E" w:rsidP="00C62D62"/>
    <w:p w:rsidR="0045372E" w:rsidRPr="00C71655" w:rsidRDefault="0045372E" w:rsidP="00C62D62">
      <w:r w:rsidRPr="00C71655">
        <w:rPr>
          <w:rFonts w:eastAsia="SimSun"/>
          <w:noProof/>
        </w:rPr>
        <w:drawing>
          <wp:inline distT="0" distB="0" distL="0" distR="0" wp14:anchorId="4582EE18" wp14:editId="4AF4F346">
            <wp:extent cx="5727700" cy="3357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183"/>
                    <a:stretch/>
                  </pic:blipFill>
                  <pic:spPr bwMode="auto">
                    <a:xfrm>
                      <a:off x="0" y="0"/>
                      <a:ext cx="5727700" cy="3357245"/>
                    </a:xfrm>
                    <a:prstGeom prst="rect">
                      <a:avLst/>
                    </a:prstGeom>
                    <a:ln>
                      <a:noFill/>
                    </a:ln>
                    <a:extLst>
                      <a:ext uri="{53640926-AAD7-44D8-BBD7-CCE9431645EC}">
                        <a14:shadowObscured xmlns:a14="http://schemas.microsoft.com/office/drawing/2010/main"/>
                      </a:ext>
                    </a:extLst>
                  </pic:spPr>
                </pic:pic>
              </a:graphicData>
            </a:graphic>
          </wp:inline>
        </w:drawing>
      </w:r>
    </w:p>
    <w:p w:rsidR="0045372E" w:rsidRPr="00C71655" w:rsidRDefault="0045372E" w:rsidP="00C62D62">
      <w:r w:rsidRPr="00C71655">
        <w:rPr>
          <w:rFonts w:eastAsia="SimSun"/>
          <w:noProof/>
        </w:rPr>
        <w:drawing>
          <wp:inline distT="0" distB="0" distL="0" distR="0" wp14:anchorId="5C234B63" wp14:editId="51100236">
            <wp:extent cx="5727700" cy="33261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3326130"/>
                    </a:xfrm>
                    <a:prstGeom prst="rect">
                      <a:avLst/>
                    </a:prstGeom>
                  </pic:spPr>
                </pic:pic>
              </a:graphicData>
            </a:graphic>
          </wp:inline>
        </w:drawing>
      </w:r>
    </w:p>
    <w:p w:rsidR="0045372E" w:rsidRPr="00C71655" w:rsidRDefault="0045372E" w:rsidP="00C62D62">
      <w:r w:rsidRPr="00C71655">
        <w:rPr>
          <w:rFonts w:eastAsia="SimSun"/>
          <w:noProof/>
        </w:rPr>
        <w:drawing>
          <wp:inline distT="0" distB="0" distL="0" distR="0" wp14:anchorId="300CFA24" wp14:editId="7CE50B72">
            <wp:extent cx="5727700" cy="1946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1946910"/>
                    </a:xfrm>
                    <a:prstGeom prst="rect">
                      <a:avLst/>
                    </a:prstGeom>
                  </pic:spPr>
                </pic:pic>
              </a:graphicData>
            </a:graphic>
          </wp:inline>
        </w:drawing>
      </w:r>
    </w:p>
    <w:p w:rsidR="0045372E" w:rsidRPr="00C71655" w:rsidRDefault="0045372E" w:rsidP="00C62D62"/>
    <w:p w:rsidR="0045372E" w:rsidRPr="00C71655" w:rsidRDefault="0045372E" w:rsidP="00C62D62">
      <w:r w:rsidRPr="00C71655">
        <w:rPr>
          <w:rFonts w:eastAsia="SimSun"/>
          <w:noProof/>
        </w:rPr>
        <w:drawing>
          <wp:inline distT="0" distB="0" distL="0" distR="0" wp14:anchorId="6009177C" wp14:editId="57D6D772">
            <wp:extent cx="5727700" cy="33635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3363595"/>
                    </a:xfrm>
                    <a:prstGeom prst="rect">
                      <a:avLst/>
                    </a:prstGeom>
                  </pic:spPr>
                </pic:pic>
              </a:graphicData>
            </a:graphic>
          </wp:inline>
        </w:drawing>
      </w:r>
    </w:p>
    <w:p w:rsidR="0045372E" w:rsidRPr="00C71655" w:rsidRDefault="0045372E" w:rsidP="00C62D62">
      <w:r w:rsidRPr="00C71655">
        <w:rPr>
          <w:rFonts w:eastAsia="SimSun"/>
          <w:noProof/>
        </w:rPr>
        <w:drawing>
          <wp:inline distT="0" distB="0" distL="0" distR="0" wp14:anchorId="3A2639BC" wp14:editId="6781BBCF">
            <wp:extent cx="5727700" cy="17138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1713865"/>
                    </a:xfrm>
                    <a:prstGeom prst="rect">
                      <a:avLst/>
                    </a:prstGeom>
                  </pic:spPr>
                </pic:pic>
              </a:graphicData>
            </a:graphic>
          </wp:inline>
        </w:drawing>
      </w:r>
    </w:p>
    <w:p w:rsidR="00692B28" w:rsidRPr="00C71655" w:rsidRDefault="00692B28">
      <w:r w:rsidRPr="00C71655">
        <w:br w:type="page"/>
      </w:r>
    </w:p>
    <w:p w:rsidR="00B16401" w:rsidRPr="00C71655" w:rsidRDefault="00692B28" w:rsidP="00DB7350">
      <w:pPr>
        <w:spacing w:line="480" w:lineRule="auto"/>
        <w:jc w:val="center"/>
        <w:rPr>
          <w:b/>
          <w:sz w:val="32"/>
        </w:rPr>
      </w:pPr>
      <w:r w:rsidRPr="00C71655">
        <w:rPr>
          <w:b/>
          <w:sz w:val="32"/>
        </w:rPr>
        <w:lastRenderedPageBreak/>
        <w:t>Reference</w:t>
      </w:r>
    </w:p>
    <w:p w:rsidR="00D03B31" w:rsidRPr="00C71655" w:rsidRDefault="00D03B31" w:rsidP="00D03B31">
      <w:pPr>
        <w:spacing w:line="480" w:lineRule="auto"/>
        <w:ind w:left="720" w:hanging="720"/>
      </w:pPr>
      <w:r w:rsidRPr="00C71655">
        <w:t>Andersen, T., &amp; Bollerslev, T. (1998). Answering the Skeptics: Yes, Standard Volatility Models do Provide Accurate Forecasts. </w:t>
      </w:r>
      <w:r w:rsidRPr="008F14DF">
        <w:rPr>
          <w:i/>
        </w:rPr>
        <w:t>International Economic Review</w:t>
      </w:r>
      <w:r w:rsidRPr="00C71655">
        <w:t>, 39(4), 885-905. doi:10.2307/2527343</w:t>
      </w:r>
    </w:p>
    <w:p w:rsidR="0028520B" w:rsidRPr="00C71655" w:rsidRDefault="0028520B" w:rsidP="00DB7350">
      <w:pPr>
        <w:spacing w:line="480" w:lineRule="auto"/>
        <w:ind w:left="720" w:hanging="720"/>
      </w:pPr>
      <w:r w:rsidRPr="00C71655">
        <w:t xml:space="preserve">Black, F. (1976) Studies of Stock Price Volatility Changes. In: Proceedings of the 1976 Meeting of the Business and Economic Statistics Section, </w:t>
      </w:r>
      <w:r w:rsidRPr="00C71655">
        <w:rPr>
          <w:i/>
        </w:rPr>
        <w:t>American Statistical Association</w:t>
      </w:r>
      <w:r w:rsidRPr="00C71655">
        <w:t>, Washington DC, 177-181.</w:t>
      </w:r>
    </w:p>
    <w:p w:rsidR="00FF53B1" w:rsidRPr="00C71655" w:rsidRDefault="00FF53B1" w:rsidP="00DB7350">
      <w:pPr>
        <w:spacing w:line="480" w:lineRule="auto"/>
        <w:ind w:left="720" w:hanging="720"/>
      </w:pPr>
      <w:r w:rsidRPr="00C71655">
        <w:t>Blair, Bevan &amp; Poon, Ser-Huang &amp; Taylor, Stephen. (200</w:t>
      </w:r>
      <w:r w:rsidR="00AA1FF8" w:rsidRPr="00C71655">
        <w:t>1</w:t>
      </w:r>
      <w:r w:rsidRPr="00C71655">
        <w:t xml:space="preserve">). Forecasting S&amp;P 100 Volatility: The Incremental Information Content of Implied Volatilities and High-Frequency Index Returns. </w:t>
      </w:r>
      <w:r w:rsidRPr="008F14DF">
        <w:rPr>
          <w:i/>
        </w:rPr>
        <w:t>Journal of Econometrics</w:t>
      </w:r>
      <w:r w:rsidRPr="00C71655">
        <w:t>. 105. 5-26. 10.1016/S0304-4076(01)00068-9.</w:t>
      </w:r>
    </w:p>
    <w:p w:rsidR="00B16401" w:rsidRPr="00C71655" w:rsidRDefault="00B16401" w:rsidP="00DB7350">
      <w:pPr>
        <w:spacing w:line="480" w:lineRule="auto"/>
        <w:ind w:left="720" w:hanging="720"/>
      </w:pPr>
      <w:r w:rsidRPr="00C71655">
        <w:t xml:space="preserve">Bollerslev, Tim &amp; Kretschmer, Uta &amp; Pigorsch, Christian &amp; Tauchen, George. (2007). A Discrete-Time Model for Daily S&amp;P500 Returns and Realized Variations: Jumps and Leverage Effects. </w:t>
      </w:r>
      <w:r w:rsidRPr="00C71655">
        <w:rPr>
          <w:i/>
        </w:rPr>
        <w:t>Journal of Econometrics</w:t>
      </w:r>
      <w:r w:rsidRPr="00C71655">
        <w:t>. 150. 151-166. 10.1016/j.jeconom.2008.12.001.</w:t>
      </w:r>
    </w:p>
    <w:p w:rsidR="009B4F8C" w:rsidRPr="00C71655" w:rsidRDefault="009B4F8C" w:rsidP="00DB7350">
      <w:pPr>
        <w:spacing w:line="480" w:lineRule="auto"/>
        <w:ind w:left="720" w:hanging="720"/>
      </w:pPr>
      <w:r w:rsidRPr="00C71655">
        <w:t>Bollerslev, Tim, Chou, Ray and Kroner, Kenneth F., (1992), ARCH modeling in finance: A review of the theory and empirical evidence, </w:t>
      </w:r>
      <w:r w:rsidRPr="008F14DF">
        <w:rPr>
          <w:i/>
        </w:rPr>
        <w:t>Journal of Econometrics</w:t>
      </w:r>
      <w:r w:rsidRPr="00C71655">
        <w:t>, 52, issue 1-2, p. 5-59, https://EconPapers.repec.org/RePEc:eee:econom:v:52:y:1992:i:1-2:p:5-59.</w:t>
      </w:r>
    </w:p>
    <w:p w:rsidR="009B4F8C" w:rsidRPr="00C71655" w:rsidRDefault="009B4F8C" w:rsidP="00DB7350">
      <w:pPr>
        <w:spacing w:line="480" w:lineRule="auto"/>
        <w:ind w:left="720" w:hanging="720"/>
      </w:pPr>
      <w:r w:rsidRPr="00C71655">
        <w:t xml:space="preserve">Bollerslev, Tim, Engle, Robert and Nelson, Daniel B., (1986), Arch models, ch. 49, p. 2959-3038 in Engle, R. F. and McFadden, D. eds., </w:t>
      </w:r>
      <w:r w:rsidRPr="008F14DF">
        <w:rPr>
          <w:i/>
        </w:rPr>
        <w:t>Handbook of Econometrics</w:t>
      </w:r>
      <w:r w:rsidRPr="00C71655">
        <w:t>, vol. 4, Elsevier,https://EconPapers.repec.org/RePEc:eee:ecochp:4-49.</w:t>
      </w:r>
    </w:p>
    <w:p w:rsidR="00566473" w:rsidRPr="00C71655" w:rsidRDefault="00566473" w:rsidP="00DB7350">
      <w:pPr>
        <w:spacing w:line="480" w:lineRule="auto"/>
        <w:ind w:left="720" w:hanging="720"/>
      </w:pPr>
      <w:r w:rsidRPr="00C71655">
        <w:t>Brenner, Menachem, and Dan Galai. “New Financial Instruments for Hedge Changes in Volatility.” </w:t>
      </w:r>
      <w:r w:rsidRPr="00C71655">
        <w:rPr>
          <w:i/>
        </w:rPr>
        <w:t>Financial Analysts Journal</w:t>
      </w:r>
      <w:r w:rsidRPr="00C71655">
        <w:t>, vol. 45, no. 4, 1989, pp. 61–65., doi:10.2469/faj.v45.n4.61.</w:t>
      </w:r>
    </w:p>
    <w:p w:rsidR="0060321F" w:rsidRPr="00C71655" w:rsidRDefault="00790817" w:rsidP="0060321F">
      <w:pPr>
        <w:spacing w:line="480" w:lineRule="auto"/>
        <w:ind w:left="720" w:hanging="720"/>
      </w:pPr>
      <w:r w:rsidRPr="00C71655">
        <w:lastRenderedPageBreak/>
        <w:t>Chou, R. (1988). Volatility Persistence and Stock Valuations: Some Empirical Evidence Using Garch. </w:t>
      </w:r>
      <w:r w:rsidRPr="00C71655">
        <w:rPr>
          <w:i/>
        </w:rPr>
        <w:t>Journal of Applied Econometrics</w:t>
      </w:r>
      <w:r w:rsidRPr="00C71655">
        <w:t xml:space="preserve">, 3(4), 279-294. Retrieved May 1, 2020, from </w:t>
      </w:r>
      <w:r w:rsidR="0060321F" w:rsidRPr="00C71655">
        <w:t>www.jstor.org/stable/2096644.</w:t>
      </w:r>
    </w:p>
    <w:p w:rsidR="0060321F" w:rsidRPr="00C71655" w:rsidRDefault="0060321F" w:rsidP="0060321F">
      <w:pPr>
        <w:spacing w:line="480" w:lineRule="auto"/>
        <w:ind w:left="720" w:hanging="720"/>
        <w:rPr>
          <w:color w:val="000000"/>
        </w:rPr>
      </w:pPr>
      <w:r w:rsidRPr="00C71655">
        <w:rPr>
          <w:color w:val="000000"/>
        </w:rPr>
        <w:t>Christensen, Bent Jesper and Prabhala, N. R., (1998), The relation between implied and realized volatility, </w:t>
      </w:r>
      <w:r w:rsidRPr="00C71655">
        <w:rPr>
          <w:i/>
          <w:iCs/>
          <w:color w:val="000000"/>
        </w:rPr>
        <w:t>Journal of Financial Economics</w:t>
      </w:r>
      <w:r w:rsidRPr="00C71655">
        <w:rPr>
          <w:color w:val="000000"/>
        </w:rPr>
        <w:t xml:space="preserve">, 50, issue 2, p. 125-150, </w:t>
      </w:r>
      <w:r w:rsidR="005961C1" w:rsidRPr="00C71655">
        <w:rPr>
          <w:color w:val="000000"/>
        </w:rPr>
        <w:t>https://EconPapers.repec.org/RePEc:eee:jfinec:v:50:y:1998:i:2:p:125-150</w:t>
      </w:r>
      <w:r w:rsidRPr="00C71655">
        <w:rPr>
          <w:color w:val="000000"/>
        </w:rPr>
        <w:t>.</w:t>
      </w:r>
    </w:p>
    <w:p w:rsidR="005961C1" w:rsidRPr="00C71655" w:rsidRDefault="005961C1" w:rsidP="0060321F">
      <w:pPr>
        <w:spacing w:line="480" w:lineRule="auto"/>
        <w:ind w:left="720" w:hanging="720"/>
        <w:rPr>
          <w:color w:val="000000"/>
        </w:rPr>
      </w:pPr>
      <w:r w:rsidRPr="00C71655">
        <w:t xml:space="preserve">Day, Theodore &amp; Lewis, Craig. (1992). Stock Market Volatility and the Information Content of Stock Index Options. </w:t>
      </w:r>
      <w:r w:rsidRPr="008F14DF">
        <w:rPr>
          <w:i/>
        </w:rPr>
        <w:t>Journal of Econometrics</w:t>
      </w:r>
      <w:r w:rsidRPr="00C71655">
        <w:t xml:space="preserve"> - J ECONOMETRICS. 52. 267-287. </w:t>
      </w:r>
      <w:r w:rsidRPr="00C71655">
        <w:rPr>
          <w:color w:val="000000"/>
        </w:rPr>
        <w:t>10.1016/0304-4076(92)90073-Z.</w:t>
      </w:r>
    </w:p>
    <w:p w:rsidR="008A1038" w:rsidRPr="00C71655" w:rsidRDefault="008A1038" w:rsidP="00DB7350">
      <w:pPr>
        <w:spacing w:line="480" w:lineRule="auto"/>
        <w:ind w:left="720" w:hanging="720"/>
      </w:pPr>
      <w:r w:rsidRPr="00C71655">
        <w:t xml:space="preserve">Giot, Pierre. (2005). Relationships Between Implied Volatility Indexes and Stock Index Returns. </w:t>
      </w:r>
      <w:r w:rsidRPr="00C71655">
        <w:rPr>
          <w:i/>
        </w:rPr>
        <w:t>Journal of Portfolio Management - J PORTFOLIO MANAGE</w:t>
      </w:r>
      <w:r w:rsidRPr="00C71655">
        <w:t>. 31. 92-100. 10.3905/jpm.2005.500363.</w:t>
      </w:r>
    </w:p>
    <w:p w:rsidR="00FD6509" w:rsidRPr="00C71655" w:rsidRDefault="00FD6509" w:rsidP="00DB7350">
      <w:pPr>
        <w:spacing w:line="480" w:lineRule="auto"/>
        <w:ind w:left="720" w:hanging="720"/>
      </w:pPr>
      <w:r w:rsidRPr="00C71655">
        <w:t xml:space="preserve">Granger, Clive &amp; Poon, Ser-Huang. (2003). Forecasting Volatility in Financial Markets: A Review. </w:t>
      </w:r>
      <w:r w:rsidRPr="00C71655">
        <w:rPr>
          <w:i/>
        </w:rPr>
        <w:t>Journal of Economic Literature</w:t>
      </w:r>
      <w:r w:rsidRPr="00C71655">
        <w:t>. 41. 478-539. 10.1257/002205103765762743.</w:t>
      </w:r>
    </w:p>
    <w:p w:rsidR="008630F8" w:rsidRPr="00C71655" w:rsidRDefault="008630F8" w:rsidP="008630F8">
      <w:pPr>
        <w:spacing w:line="480" w:lineRule="auto"/>
        <w:ind w:left="720" w:hanging="720"/>
      </w:pPr>
      <w:r w:rsidRPr="00C71655">
        <w:t>Heynen, R.C., &amp; Kat, H.M. (1994). Volatility Prediction: A Comparison of the Stochastic Volatility, GARCH (1,1) and EGARCH (1,1) Models.</w:t>
      </w:r>
    </w:p>
    <w:p w:rsidR="008A1038" w:rsidRPr="00C71655" w:rsidRDefault="008A1038" w:rsidP="00DB7350">
      <w:pPr>
        <w:spacing w:line="480" w:lineRule="auto"/>
        <w:ind w:left="720" w:hanging="720"/>
      </w:pPr>
      <w:r w:rsidRPr="00C71655">
        <w:t xml:space="preserve">Hibbert, Ann Marie &amp; Daigler, Robert &amp; Dupoyet, Brice. (2008). A Behavioral Explanation for the Negative Asymmetric Return-Volatility Relation. </w:t>
      </w:r>
      <w:r w:rsidRPr="00C71655">
        <w:rPr>
          <w:i/>
        </w:rPr>
        <w:t>SSRN Electronic Journal</w:t>
      </w:r>
      <w:r w:rsidRPr="00C71655">
        <w:t>. 10.2139/ssrn.3362617.</w:t>
      </w:r>
    </w:p>
    <w:p w:rsidR="00AF01B5" w:rsidRPr="00C71655" w:rsidRDefault="004F1CA8" w:rsidP="00DB7350">
      <w:pPr>
        <w:spacing w:line="480" w:lineRule="auto"/>
        <w:ind w:left="720" w:hanging="720"/>
      </w:pPr>
      <w:r w:rsidRPr="00C71655">
        <w:t xml:space="preserve">Li, Jupeng &amp; Yu, Xiaoli &amp; Luo, Xingguo. (2019). Volatility index and the return–volatility relation: Intraday evidence from Chinese options market. </w:t>
      </w:r>
      <w:r w:rsidRPr="00C71655">
        <w:rPr>
          <w:i/>
        </w:rPr>
        <w:t>Journal of Futures Markets</w:t>
      </w:r>
      <w:r w:rsidRPr="00C71655">
        <w:t>. 39. 10.1002/fut.22012.</w:t>
      </w:r>
    </w:p>
    <w:p w:rsidR="00880E53" w:rsidRPr="00C71655" w:rsidRDefault="00880E53" w:rsidP="00DB7350">
      <w:pPr>
        <w:spacing w:line="480" w:lineRule="auto"/>
        <w:ind w:left="720" w:hanging="720"/>
      </w:pPr>
      <w:r w:rsidRPr="00C71655">
        <w:t xml:space="preserve">Majmudar, Utkarsh &amp; Banerjee, Arnab. (2004). VIX Forecasting. </w:t>
      </w:r>
      <w:r w:rsidRPr="00C71655">
        <w:rPr>
          <w:i/>
        </w:rPr>
        <w:t>SSRN Electronic Journal</w:t>
      </w:r>
      <w:r w:rsidRPr="00C71655">
        <w:t>. 10.2139/ssrn.533583.</w:t>
      </w:r>
    </w:p>
    <w:p w:rsidR="00880E53" w:rsidRPr="00C71655" w:rsidRDefault="00880E53" w:rsidP="00DB7350">
      <w:pPr>
        <w:spacing w:line="480" w:lineRule="auto"/>
        <w:ind w:left="720" w:hanging="720"/>
      </w:pPr>
      <w:r w:rsidRPr="00C71655">
        <w:lastRenderedPageBreak/>
        <w:t>Medvedev, N. (2019). Multi-Step Forecast of the Implied Volatility Surface Using Deep Learning.</w:t>
      </w:r>
    </w:p>
    <w:p w:rsidR="002A694C" w:rsidRPr="00C71655" w:rsidRDefault="002A694C" w:rsidP="00DB7350">
      <w:pPr>
        <w:spacing w:line="480" w:lineRule="auto"/>
        <w:ind w:left="720" w:hanging="720"/>
      </w:pPr>
      <w:r w:rsidRPr="00C71655">
        <w:t xml:space="preserve">Park, Hyejin, Namhyoung Kim, and Jaewook Lee (2014). “Parametric models and non-parametric machine learning models for predicting option prices: Empirical comparison study over KOSPI 200 Index options”. In: </w:t>
      </w:r>
      <w:r w:rsidRPr="008F14DF">
        <w:rPr>
          <w:i/>
        </w:rPr>
        <w:t>Expert Systems with Applications</w:t>
      </w:r>
      <w:r w:rsidRPr="00C71655">
        <w:t xml:space="preserve"> 41(11), 5227ˆa5237. issn: 09574174. doi: 10.1016/j.eswa.2014.01.032.</w:t>
      </w:r>
    </w:p>
    <w:p w:rsidR="00781E6A" w:rsidRPr="00C71655" w:rsidRDefault="00781E6A" w:rsidP="00DB7350">
      <w:pPr>
        <w:spacing w:line="480" w:lineRule="auto"/>
        <w:ind w:left="720" w:hanging="720"/>
      </w:pPr>
      <w:r w:rsidRPr="00C71655">
        <w:t>Poterba, J., &amp; Summers, L. (1986). The Persistence of Volatility and Stock Market Fluctuations. </w:t>
      </w:r>
      <w:r w:rsidRPr="008F14DF">
        <w:rPr>
          <w:i/>
        </w:rPr>
        <w:t>The American Economic Review</w:t>
      </w:r>
      <w:r w:rsidRPr="00C71655">
        <w:t>,76(5), 1142-1151. Retrieved May 2, 2020, from www.jstor.org/stable/1816476</w:t>
      </w:r>
    </w:p>
    <w:p w:rsidR="004F1CA8" w:rsidRPr="00C71655" w:rsidRDefault="004F1CA8" w:rsidP="00DB7350">
      <w:pPr>
        <w:spacing w:line="480" w:lineRule="auto"/>
        <w:ind w:left="720" w:hanging="720"/>
      </w:pPr>
      <w:r w:rsidRPr="00C71655">
        <w:t>Whaley, Robert. (2000). The Investor Fear Gauge. Journal of Portfolio Management. 26. 12-17. 10.3905/jpm.2000.319728.</w:t>
      </w:r>
    </w:p>
    <w:p w:rsidR="007F15DD" w:rsidRPr="00C71655" w:rsidRDefault="007F15DD" w:rsidP="00DB7350">
      <w:pPr>
        <w:spacing w:line="480" w:lineRule="auto"/>
        <w:ind w:left="720" w:hanging="720"/>
      </w:pPr>
      <w:r w:rsidRPr="00C71655">
        <w:t>Wu, Yaofei.</w:t>
      </w:r>
      <w:r w:rsidR="008A1038" w:rsidRPr="00C71655">
        <w:t xml:space="preserve"> (2017).</w:t>
      </w:r>
      <w:r w:rsidRPr="00C71655">
        <w:t xml:space="preserve"> Performance Analysis of Shanghai Stock Exchange iVX Index and Its Potential for Risk Management. NYUSH Business Honors</w:t>
      </w:r>
      <w:r w:rsidR="008A1038" w:rsidRPr="00C71655">
        <w:t xml:space="preserve"> Program Final Thesis.</w:t>
      </w:r>
    </w:p>
    <w:p w:rsidR="008A1038" w:rsidRPr="00C71655" w:rsidRDefault="008A1038" w:rsidP="00DB7350">
      <w:pPr>
        <w:spacing w:line="480" w:lineRule="auto"/>
        <w:ind w:left="720" w:hanging="720"/>
      </w:pPr>
      <w:r w:rsidRPr="00C71655">
        <w:t>Zheng</w:t>
      </w:r>
      <w:r w:rsidRPr="00C71655">
        <w:rPr>
          <w:rFonts w:eastAsia="SimSun"/>
        </w:rPr>
        <w:t>,</w:t>
      </w:r>
      <w:r w:rsidRPr="00C71655">
        <w:t xml:space="preserve"> Chengli &amp; Yao, Yinhong. Relationship between Implied Volatility Index and its Underlying Market Index.</w:t>
      </w:r>
    </w:p>
    <w:p w:rsidR="00AF01B5" w:rsidRPr="00C71655" w:rsidRDefault="00AF01B5" w:rsidP="00DB7350">
      <w:pPr>
        <w:spacing w:line="480" w:lineRule="auto"/>
        <w:ind w:left="720" w:hanging="720"/>
      </w:pPr>
      <w:r w:rsidRPr="00C71655">
        <w:t xml:space="preserve">Zheng, Zhenlong &amp; Jiang, Zhengyun &amp; Chen, Rong. (2016). AVIX: An Improved VIX Based on Stochastic Interest Rates and an Adaptive Screening Mechanism. </w:t>
      </w:r>
      <w:r w:rsidRPr="00C71655">
        <w:rPr>
          <w:i/>
        </w:rPr>
        <w:t>Journal of Futures Markets</w:t>
      </w:r>
      <w:r w:rsidRPr="00C71655">
        <w:t>. 37. 10.1002/fut.21824.</w:t>
      </w:r>
    </w:p>
    <w:p w:rsidR="004F1CA8" w:rsidRPr="00C71655" w:rsidRDefault="004F1CA8" w:rsidP="00DB7350">
      <w:pPr>
        <w:spacing w:line="480" w:lineRule="auto"/>
        <w:ind w:left="720" w:hanging="720"/>
      </w:pPr>
    </w:p>
    <w:bookmarkEnd w:id="0"/>
    <w:bookmarkEnd w:id="1"/>
    <w:p w:rsidR="00692B28" w:rsidRPr="00C71655" w:rsidRDefault="00692B28" w:rsidP="00DB7350">
      <w:pPr>
        <w:spacing w:line="480" w:lineRule="auto"/>
        <w:ind w:left="720" w:hanging="720"/>
      </w:pPr>
    </w:p>
    <w:sectPr w:rsidR="00692B28" w:rsidRPr="00C71655" w:rsidSect="00A55AA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272B" w:rsidRDefault="0087272B" w:rsidP="005E2ADD">
      <w:r>
        <w:separator/>
      </w:r>
    </w:p>
  </w:endnote>
  <w:endnote w:type="continuationSeparator" w:id="0">
    <w:p w:rsidR="0087272B" w:rsidRDefault="0087272B" w:rsidP="005E2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272B" w:rsidRDefault="0087272B" w:rsidP="005E2ADD">
      <w:r>
        <w:separator/>
      </w:r>
    </w:p>
  </w:footnote>
  <w:footnote w:type="continuationSeparator" w:id="0">
    <w:p w:rsidR="0087272B" w:rsidRDefault="0087272B" w:rsidP="005E2A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22E4"/>
    <w:multiLevelType w:val="multilevel"/>
    <w:tmpl w:val="2290600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F1249D2"/>
    <w:multiLevelType w:val="hybridMultilevel"/>
    <w:tmpl w:val="C952F0DC"/>
    <w:lvl w:ilvl="0" w:tplc="11A8E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A371B"/>
    <w:multiLevelType w:val="hybridMultilevel"/>
    <w:tmpl w:val="91C0D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B6938"/>
    <w:multiLevelType w:val="hybridMultilevel"/>
    <w:tmpl w:val="6ADCE256"/>
    <w:lvl w:ilvl="0" w:tplc="05BAE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D3E84"/>
    <w:multiLevelType w:val="hybridMultilevel"/>
    <w:tmpl w:val="F1E2FEF0"/>
    <w:lvl w:ilvl="0" w:tplc="DA3CB8DA">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D43FD"/>
    <w:multiLevelType w:val="hybridMultilevel"/>
    <w:tmpl w:val="29609116"/>
    <w:lvl w:ilvl="0" w:tplc="9ACCEC7C">
      <w:start w:val="1"/>
      <w:numFmt w:val="bullet"/>
      <w:lvlText w:val="◦"/>
      <w:lvlJc w:val="left"/>
      <w:pPr>
        <w:tabs>
          <w:tab w:val="num" w:pos="720"/>
        </w:tabs>
        <w:ind w:left="720" w:hanging="360"/>
      </w:pPr>
      <w:rPr>
        <w:rFonts w:ascii="Times New Roman" w:hAnsi="Times New Roman" w:hint="default"/>
      </w:rPr>
    </w:lvl>
    <w:lvl w:ilvl="1" w:tplc="101EBEAC" w:tentative="1">
      <w:start w:val="1"/>
      <w:numFmt w:val="bullet"/>
      <w:lvlText w:val="◦"/>
      <w:lvlJc w:val="left"/>
      <w:pPr>
        <w:tabs>
          <w:tab w:val="num" w:pos="1440"/>
        </w:tabs>
        <w:ind w:left="1440" w:hanging="360"/>
      </w:pPr>
      <w:rPr>
        <w:rFonts w:ascii="Times New Roman" w:hAnsi="Times New Roman" w:hint="default"/>
      </w:rPr>
    </w:lvl>
    <w:lvl w:ilvl="2" w:tplc="3F4805C8" w:tentative="1">
      <w:start w:val="1"/>
      <w:numFmt w:val="bullet"/>
      <w:lvlText w:val="◦"/>
      <w:lvlJc w:val="left"/>
      <w:pPr>
        <w:tabs>
          <w:tab w:val="num" w:pos="2160"/>
        </w:tabs>
        <w:ind w:left="2160" w:hanging="360"/>
      </w:pPr>
      <w:rPr>
        <w:rFonts w:ascii="Times New Roman" w:hAnsi="Times New Roman" w:hint="default"/>
      </w:rPr>
    </w:lvl>
    <w:lvl w:ilvl="3" w:tplc="35BCC7DA" w:tentative="1">
      <w:start w:val="1"/>
      <w:numFmt w:val="bullet"/>
      <w:lvlText w:val="◦"/>
      <w:lvlJc w:val="left"/>
      <w:pPr>
        <w:tabs>
          <w:tab w:val="num" w:pos="2880"/>
        </w:tabs>
        <w:ind w:left="2880" w:hanging="360"/>
      </w:pPr>
      <w:rPr>
        <w:rFonts w:ascii="Times New Roman" w:hAnsi="Times New Roman" w:hint="default"/>
      </w:rPr>
    </w:lvl>
    <w:lvl w:ilvl="4" w:tplc="B3C88ECE" w:tentative="1">
      <w:start w:val="1"/>
      <w:numFmt w:val="bullet"/>
      <w:lvlText w:val="◦"/>
      <w:lvlJc w:val="left"/>
      <w:pPr>
        <w:tabs>
          <w:tab w:val="num" w:pos="3600"/>
        </w:tabs>
        <w:ind w:left="3600" w:hanging="360"/>
      </w:pPr>
      <w:rPr>
        <w:rFonts w:ascii="Times New Roman" w:hAnsi="Times New Roman" w:hint="default"/>
      </w:rPr>
    </w:lvl>
    <w:lvl w:ilvl="5" w:tplc="DCB6D940" w:tentative="1">
      <w:start w:val="1"/>
      <w:numFmt w:val="bullet"/>
      <w:lvlText w:val="◦"/>
      <w:lvlJc w:val="left"/>
      <w:pPr>
        <w:tabs>
          <w:tab w:val="num" w:pos="4320"/>
        </w:tabs>
        <w:ind w:left="4320" w:hanging="360"/>
      </w:pPr>
      <w:rPr>
        <w:rFonts w:ascii="Times New Roman" w:hAnsi="Times New Roman" w:hint="default"/>
      </w:rPr>
    </w:lvl>
    <w:lvl w:ilvl="6" w:tplc="28E8A99A" w:tentative="1">
      <w:start w:val="1"/>
      <w:numFmt w:val="bullet"/>
      <w:lvlText w:val="◦"/>
      <w:lvlJc w:val="left"/>
      <w:pPr>
        <w:tabs>
          <w:tab w:val="num" w:pos="5040"/>
        </w:tabs>
        <w:ind w:left="5040" w:hanging="360"/>
      </w:pPr>
      <w:rPr>
        <w:rFonts w:ascii="Times New Roman" w:hAnsi="Times New Roman" w:hint="default"/>
      </w:rPr>
    </w:lvl>
    <w:lvl w:ilvl="7" w:tplc="1B7CCE14" w:tentative="1">
      <w:start w:val="1"/>
      <w:numFmt w:val="bullet"/>
      <w:lvlText w:val="◦"/>
      <w:lvlJc w:val="left"/>
      <w:pPr>
        <w:tabs>
          <w:tab w:val="num" w:pos="5760"/>
        </w:tabs>
        <w:ind w:left="5760" w:hanging="360"/>
      </w:pPr>
      <w:rPr>
        <w:rFonts w:ascii="Times New Roman" w:hAnsi="Times New Roman" w:hint="default"/>
      </w:rPr>
    </w:lvl>
    <w:lvl w:ilvl="8" w:tplc="6B9EE95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0EE2F39"/>
    <w:multiLevelType w:val="hybridMultilevel"/>
    <w:tmpl w:val="D6A87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7E272B3"/>
    <w:multiLevelType w:val="hybridMultilevel"/>
    <w:tmpl w:val="FE243D26"/>
    <w:lvl w:ilvl="0" w:tplc="9A08CE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E85BD2"/>
    <w:multiLevelType w:val="hybridMultilevel"/>
    <w:tmpl w:val="22D4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D56EC9"/>
    <w:multiLevelType w:val="hybridMultilevel"/>
    <w:tmpl w:val="910845A0"/>
    <w:lvl w:ilvl="0" w:tplc="DB701742">
      <w:start w:val="1"/>
      <w:numFmt w:val="decimal"/>
      <w:lvlText w:val="%1."/>
      <w:lvlJc w:val="left"/>
      <w:pPr>
        <w:ind w:left="720" w:hanging="360"/>
      </w:pPr>
      <w:rPr>
        <w:rFonts w:ascii="SimSun" w:eastAsia="SimSun" w:hAnsi="SimSun" w:cs="SimSun" w:hint="default"/>
        <w:color w:val="1A1A1A"/>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AD1B3D"/>
    <w:multiLevelType w:val="hybridMultilevel"/>
    <w:tmpl w:val="7714D760"/>
    <w:lvl w:ilvl="0" w:tplc="B77ECF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CF67AB"/>
    <w:multiLevelType w:val="hybridMultilevel"/>
    <w:tmpl w:val="1FF449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385E06"/>
    <w:multiLevelType w:val="hybridMultilevel"/>
    <w:tmpl w:val="0BF6451C"/>
    <w:lvl w:ilvl="0" w:tplc="32AA35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9"/>
  </w:num>
  <w:num w:numId="4">
    <w:abstractNumId w:val="6"/>
  </w:num>
  <w:num w:numId="5">
    <w:abstractNumId w:val="11"/>
  </w:num>
  <w:num w:numId="6">
    <w:abstractNumId w:val="4"/>
  </w:num>
  <w:num w:numId="7">
    <w:abstractNumId w:val="3"/>
  </w:num>
  <w:num w:numId="8">
    <w:abstractNumId w:val="12"/>
  </w:num>
  <w:num w:numId="9">
    <w:abstractNumId w:val="5"/>
  </w:num>
  <w:num w:numId="10">
    <w:abstractNumId w:val="1"/>
  </w:num>
  <w:num w:numId="11">
    <w:abstractNumId w:val="10"/>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446"/>
    <w:rsid w:val="00002D43"/>
    <w:rsid w:val="0000576C"/>
    <w:rsid w:val="00027DAB"/>
    <w:rsid w:val="00033C68"/>
    <w:rsid w:val="00050B5E"/>
    <w:rsid w:val="00057A9D"/>
    <w:rsid w:val="00066E86"/>
    <w:rsid w:val="00070900"/>
    <w:rsid w:val="00082DCD"/>
    <w:rsid w:val="0008612B"/>
    <w:rsid w:val="00087E68"/>
    <w:rsid w:val="0009596B"/>
    <w:rsid w:val="000B1330"/>
    <w:rsid w:val="000B7D10"/>
    <w:rsid w:val="000C5649"/>
    <w:rsid w:val="000D1C92"/>
    <w:rsid w:val="000E2834"/>
    <w:rsid w:val="000F0A1F"/>
    <w:rsid w:val="000F2565"/>
    <w:rsid w:val="00102444"/>
    <w:rsid w:val="00103709"/>
    <w:rsid w:val="001047E3"/>
    <w:rsid w:val="00114824"/>
    <w:rsid w:val="0011566E"/>
    <w:rsid w:val="00122743"/>
    <w:rsid w:val="001245B0"/>
    <w:rsid w:val="00126105"/>
    <w:rsid w:val="001446E5"/>
    <w:rsid w:val="00147ADC"/>
    <w:rsid w:val="00155D77"/>
    <w:rsid w:val="00164B1B"/>
    <w:rsid w:val="00174873"/>
    <w:rsid w:val="00176797"/>
    <w:rsid w:val="00177503"/>
    <w:rsid w:val="001845B9"/>
    <w:rsid w:val="00191293"/>
    <w:rsid w:val="00191630"/>
    <w:rsid w:val="001A397A"/>
    <w:rsid w:val="001B36D4"/>
    <w:rsid w:val="001D1FDA"/>
    <w:rsid w:val="001D3D56"/>
    <w:rsid w:val="001D5728"/>
    <w:rsid w:val="001E0233"/>
    <w:rsid w:val="00202828"/>
    <w:rsid w:val="00223F08"/>
    <w:rsid w:val="00226645"/>
    <w:rsid w:val="00237531"/>
    <w:rsid w:val="00257DB6"/>
    <w:rsid w:val="00264A3C"/>
    <w:rsid w:val="00271AB7"/>
    <w:rsid w:val="00273B0A"/>
    <w:rsid w:val="00281E14"/>
    <w:rsid w:val="002820C9"/>
    <w:rsid w:val="0028513B"/>
    <w:rsid w:val="0028520B"/>
    <w:rsid w:val="0029043B"/>
    <w:rsid w:val="002A694C"/>
    <w:rsid w:val="002B48BB"/>
    <w:rsid w:val="002C5B0D"/>
    <w:rsid w:val="002C6AE8"/>
    <w:rsid w:val="002D419D"/>
    <w:rsid w:val="002D639D"/>
    <w:rsid w:val="002F4A9A"/>
    <w:rsid w:val="002F5604"/>
    <w:rsid w:val="00307D05"/>
    <w:rsid w:val="00327E00"/>
    <w:rsid w:val="00333649"/>
    <w:rsid w:val="0034527C"/>
    <w:rsid w:val="00360B0A"/>
    <w:rsid w:val="00370E30"/>
    <w:rsid w:val="0039436C"/>
    <w:rsid w:val="003C4039"/>
    <w:rsid w:val="003E4BBF"/>
    <w:rsid w:val="003F7221"/>
    <w:rsid w:val="00406758"/>
    <w:rsid w:val="004157E4"/>
    <w:rsid w:val="00415D3F"/>
    <w:rsid w:val="00423C4E"/>
    <w:rsid w:val="00440E03"/>
    <w:rsid w:val="0044741F"/>
    <w:rsid w:val="0045182C"/>
    <w:rsid w:val="0045372E"/>
    <w:rsid w:val="00456241"/>
    <w:rsid w:val="00457BF1"/>
    <w:rsid w:val="00462867"/>
    <w:rsid w:val="004630BA"/>
    <w:rsid w:val="00471F77"/>
    <w:rsid w:val="0047715F"/>
    <w:rsid w:val="00477D66"/>
    <w:rsid w:val="004806A4"/>
    <w:rsid w:val="00495E76"/>
    <w:rsid w:val="004960FD"/>
    <w:rsid w:val="004A2571"/>
    <w:rsid w:val="004B04F2"/>
    <w:rsid w:val="004B46C3"/>
    <w:rsid w:val="004B5C4F"/>
    <w:rsid w:val="004C07E1"/>
    <w:rsid w:val="004C2619"/>
    <w:rsid w:val="004C507F"/>
    <w:rsid w:val="004D5647"/>
    <w:rsid w:val="004E3925"/>
    <w:rsid w:val="004F1CA8"/>
    <w:rsid w:val="004F7FC3"/>
    <w:rsid w:val="00501B5C"/>
    <w:rsid w:val="0051780D"/>
    <w:rsid w:val="0053519A"/>
    <w:rsid w:val="0054089B"/>
    <w:rsid w:val="0054607C"/>
    <w:rsid w:val="0055401A"/>
    <w:rsid w:val="00561C5B"/>
    <w:rsid w:val="0056336C"/>
    <w:rsid w:val="00566473"/>
    <w:rsid w:val="00571E11"/>
    <w:rsid w:val="00580E25"/>
    <w:rsid w:val="005817E1"/>
    <w:rsid w:val="005961C1"/>
    <w:rsid w:val="00597A9E"/>
    <w:rsid w:val="005B141E"/>
    <w:rsid w:val="005B5124"/>
    <w:rsid w:val="005B77DF"/>
    <w:rsid w:val="005C02A6"/>
    <w:rsid w:val="005C53B7"/>
    <w:rsid w:val="005D7361"/>
    <w:rsid w:val="005E2ADD"/>
    <w:rsid w:val="005E2FB9"/>
    <w:rsid w:val="005E7955"/>
    <w:rsid w:val="005F302A"/>
    <w:rsid w:val="005F4967"/>
    <w:rsid w:val="006008F0"/>
    <w:rsid w:val="0060321F"/>
    <w:rsid w:val="006129F3"/>
    <w:rsid w:val="00615573"/>
    <w:rsid w:val="00624CC2"/>
    <w:rsid w:val="00630FEE"/>
    <w:rsid w:val="00633C7F"/>
    <w:rsid w:val="00646659"/>
    <w:rsid w:val="0065484E"/>
    <w:rsid w:val="0065520A"/>
    <w:rsid w:val="00667C32"/>
    <w:rsid w:val="00675DC8"/>
    <w:rsid w:val="00684770"/>
    <w:rsid w:val="00686432"/>
    <w:rsid w:val="00687A2E"/>
    <w:rsid w:val="00692B28"/>
    <w:rsid w:val="00693C27"/>
    <w:rsid w:val="00696033"/>
    <w:rsid w:val="006A607D"/>
    <w:rsid w:val="006B571F"/>
    <w:rsid w:val="006B589F"/>
    <w:rsid w:val="006C6522"/>
    <w:rsid w:val="006F5A6D"/>
    <w:rsid w:val="00704D15"/>
    <w:rsid w:val="00713094"/>
    <w:rsid w:val="0071366A"/>
    <w:rsid w:val="007176B5"/>
    <w:rsid w:val="00721494"/>
    <w:rsid w:val="00721F52"/>
    <w:rsid w:val="00724559"/>
    <w:rsid w:val="00727474"/>
    <w:rsid w:val="0073340D"/>
    <w:rsid w:val="00734478"/>
    <w:rsid w:val="00737027"/>
    <w:rsid w:val="00770C85"/>
    <w:rsid w:val="00781E6A"/>
    <w:rsid w:val="00785762"/>
    <w:rsid w:val="00790817"/>
    <w:rsid w:val="00794F17"/>
    <w:rsid w:val="007A10FE"/>
    <w:rsid w:val="007A193A"/>
    <w:rsid w:val="007B77BB"/>
    <w:rsid w:val="007D297A"/>
    <w:rsid w:val="007E5D8B"/>
    <w:rsid w:val="007F15DD"/>
    <w:rsid w:val="007F28AD"/>
    <w:rsid w:val="00801A3D"/>
    <w:rsid w:val="00803E5D"/>
    <w:rsid w:val="0082660B"/>
    <w:rsid w:val="00827339"/>
    <w:rsid w:val="00830AB4"/>
    <w:rsid w:val="00837DD7"/>
    <w:rsid w:val="00840AA0"/>
    <w:rsid w:val="00843AAB"/>
    <w:rsid w:val="00850D82"/>
    <w:rsid w:val="008630F8"/>
    <w:rsid w:val="0086417E"/>
    <w:rsid w:val="00864B9C"/>
    <w:rsid w:val="0086714B"/>
    <w:rsid w:val="008722A5"/>
    <w:rsid w:val="0087272B"/>
    <w:rsid w:val="00880E53"/>
    <w:rsid w:val="00884815"/>
    <w:rsid w:val="00886A3F"/>
    <w:rsid w:val="00886D89"/>
    <w:rsid w:val="008A1038"/>
    <w:rsid w:val="008B6D97"/>
    <w:rsid w:val="008C03E6"/>
    <w:rsid w:val="008D0C4C"/>
    <w:rsid w:val="008D43AF"/>
    <w:rsid w:val="008D6BEA"/>
    <w:rsid w:val="008F14DF"/>
    <w:rsid w:val="009037DB"/>
    <w:rsid w:val="00907E23"/>
    <w:rsid w:val="00940222"/>
    <w:rsid w:val="00963621"/>
    <w:rsid w:val="00975227"/>
    <w:rsid w:val="00987127"/>
    <w:rsid w:val="009A73B1"/>
    <w:rsid w:val="009B4F8C"/>
    <w:rsid w:val="009B6A28"/>
    <w:rsid w:val="009B7103"/>
    <w:rsid w:val="009C78FC"/>
    <w:rsid w:val="009E4A28"/>
    <w:rsid w:val="00A02C82"/>
    <w:rsid w:val="00A04250"/>
    <w:rsid w:val="00A262EB"/>
    <w:rsid w:val="00A410E1"/>
    <w:rsid w:val="00A43CAB"/>
    <w:rsid w:val="00A47E0A"/>
    <w:rsid w:val="00A51E6D"/>
    <w:rsid w:val="00A55AA9"/>
    <w:rsid w:val="00A84123"/>
    <w:rsid w:val="00A91A1D"/>
    <w:rsid w:val="00A92E88"/>
    <w:rsid w:val="00A95171"/>
    <w:rsid w:val="00AA1FF8"/>
    <w:rsid w:val="00AA77ED"/>
    <w:rsid w:val="00AB072A"/>
    <w:rsid w:val="00AC155F"/>
    <w:rsid w:val="00AC3948"/>
    <w:rsid w:val="00AE1204"/>
    <w:rsid w:val="00AE7198"/>
    <w:rsid w:val="00AF01B5"/>
    <w:rsid w:val="00AF09BF"/>
    <w:rsid w:val="00AF694A"/>
    <w:rsid w:val="00AF6E42"/>
    <w:rsid w:val="00B00E01"/>
    <w:rsid w:val="00B01FAC"/>
    <w:rsid w:val="00B16401"/>
    <w:rsid w:val="00B30E82"/>
    <w:rsid w:val="00B35C0F"/>
    <w:rsid w:val="00B37446"/>
    <w:rsid w:val="00B37567"/>
    <w:rsid w:val="00B56219"/>
    <w:rsid w:val="00B60A00"/>
    <w:rsid w:val="00B71035"/>
    <w:rsid w:val="00B72166"/>
    <w:rsid w:val="00B74820"/>
    <w:rsid w:val="00B74BD6"/>
    <w:rsid w:val="00B82294"/>
    <w:rsid w:val="00B82FB8"/>
    <w:rsid w:val="00B85018"/>
    <w:rsid w:val="00B95CDF"/>
    <w:rsid w:val="00BB7165"/>
    <w:rsid w:val="00BC0455"/>
    <w:rsid w:val="00BC5ED0"/>
    <w:rsid w:val="00BD2BA3"/>
    <w:rsid w:val="00BE14B4"/>
    <w:rsid w:val="00BE65D6"/>
    <w:rsid w:val="00BE6DD6"/>
    <w:rsid w:val="00C33858"/>
    <w:rsid w:val="00C474B5"/>
    <w:rsid w:val="00C558F6"/>
    <w:rsid w:val="00C62D62"/>
    <w:rsid w:val="00C64881"/>
    <w:rsid w:val="00C71655"/>
    <w:rsid w:val="00C748F1"/>
    <w:rsid w:val="00C75632"/>
    <w:rsid w:val="00C770B3"/>
    <w:rsid w:val="00C86F27"/>
    <w:rsid w:val="00C92C45"/>
    <w:rsid w:val="00CB0552"/>
    <w:rsid w:val="00CB5084"/>
    <w:rsid w:val="00CB75AB"/>
    <w:rsid w:val="00CD2D90"/>
    <w:rsid w:val="00CD568A"/>
    <w:rsid w:val="00CE13F3"/>
    <w:rsid w:val="00CE5489"/>
    <w:rsid w:val="00CF0A91"/>
    <w:rsid w:val="00CF268F"/>
    <w:rsid w:val="00CF4261"/>
    <w:rsid w:val="00CF430A"/>
    <w:rsid w:val="00CF653E"/>
    <w:rsid w:val="00CF6E28"/>
    <w:rsid w:val="00CF7691"/>
    <w:rsid w:val="00D027FA"/>
    <w:rsid w:val="00D03B31"/>
    <w:rsid w:val="00D05A87"/>
    <w:rsid w:val="00D1111E"/>
    <w:rsid w:val="00D13644"/>
    <w:rsid w:val="00D27038"/>
    <w:rsid w:val="00D35C6F"/>
    <w:rsid w:val="00D36DA0"/>
    <w:rsid w:val="00D372EA"/>
    <w:rsid w:val="00D424C4"/>
    <w:rsid w:val="00D42F56"/>
    <w:rsid w:val="00D44C22"/>
    <w:rsid w:val="00D52602"/>
    <w:rsid w:val="00D53A21"/>
    <w:rsid w:val="00D911BA"/>
    <w:rsid w:val="00D941D6"/>
    <w:rsid w:val="00DB7350"/>
    <w:rsid w:val="00DC5658"/>
    <w:rsid w:val="00DD00C4"/>
    <w:rsid w:val="00DD186A"/>
    <w:rsid w:val="00DD4F1A"/>
    <w:rsid w:val="00DD5058"/>
    <w:rsid w:val="00DE31D2"/>
    <w:rsid w:val="00E13274"/>
    <w:rsid w:val="00E20DFE"/>
    <w:rsid w:val="00E30DB7"/>
    <w:rsid w:val="00E344CD"/>
    <w:rsid w:val="00E62C9E"/>
    <w:rsid w:val="00E72367"/>
    <w:rsid w:val="00E741DB"/>
    <w:rsid w:val="00E7510C"/>
    <w:rsid w:val="00E75DE0"/>
    <w:rsid w:val="00E8027E"/>
    <w:rsid w:val="00E826A0"/>
    <w:rsid w:val="00E829D8"/>
    <w:rsid w:val="00E9112B"/>
    <w:rsid w:val="00EB4A4C"/>
    <w:rsid w:val="00EC6736"/>
    <w:rsid w:val="00ED2C5F"/>
    <w:rsid w:val="00ED3463"/>
    <w:rsid w:val="00ED423C"/>
    <w:rsid w:val="00ED5B9E"/>
    <w:rsid w:val="00EE1749"/>
    <w:rsid w:val="00EF1FD7"/>
    <w:rsid w:val="00F108B4"/>
    <w:rsid w:val="00F327F9"/>
    <w:rsid w:val="00F37EED"/>
    <w:rsid w:val="00F41A2D"/>
    <w:rsid w:val="00F60398"/>
    <w:rsid w:val="00F60CD3"/>
    <w:rsid w:val="00F66818"/>
    <w:rsid w:val="00F7365F"/>
    <w:rsid w:val="00F758C0"/>
    <w:rsid w:val="00F761B8"/>
    <w:rsid w:val="00F9011A"/>
    <w:rsid w:val="00F925A3"/>
    <w:rsid w:val="00FA6C44"/>
    <w:rsid w:val="00FA7327"/>
    <w:rsid w:val="00FB5F16"/>
    <w:rsid w:val="00FC5966"/>
    <w:rsid w:val="00FD11AF"/>
    <w:rsid w:val="00FD6509"/>
    <w:rsid w:val="00FE225A"/>
    <w:rsid w:val="00FE4A9D"/>
    <w:rsid w:val="00FF29F9"/>
    <w:rsid w:val="00FF4DD0"/>
    <w:rsid w:val="00FF53B1"/>
    <w:rsid w:val="00FF6EFF"/>
    <w:rsid w:val="00FF72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0D77E"/>
  <w15:chartTrackingRefBased/>
  <w15:docId w15:val="{B4605D29-2231-5543-A1DF-5A4080304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6A0"/>
    <w:rPr>
      <w:rFonts w:ascii="Times New Roman" w:eastAsia="Times New Roman" w:hAnsi="Times New Roman" w:cs="Times New Roman"/>
    </w:rPr>
  </w:style>
  <w:style w:type="paragraph" w:styleId="Heading1">
    <w:name w:val="heading 1"/>
    <w:basedOn w:val="Normal"/>
    <w:next w:val="Normal"/>
    <w:link w:val="Heading1Char"/>
    <w:qFormat/>
    <w:rsid w:val="00BE14B4"/>
    <w:pPr>
      <w:keepNext/>
      <w:jc w:val="center"/>
      <w:outlineLvl w:val="0"/>
    </w:pPr>
    <w:rPr>
      <w:sz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446"/>
    <w:rPr>
      <w:sz w:val="18"/>
      <w:szCs w:val="18"/>
    </w:rPr>
  </w:style>
  <w:style w:type="character" w:customStyle="1" w:styleId="BalloonTextChar">
    <w:name w:val="Balloon Text Char"/>
    <w:basedOn w:val="DefaultParagraphFont"/>
    <w:link w:val="BalloonText"/>
    <w:uiPriority w:val="99"/>
    <w:semiHidden/>
    <w:rsid w:val="00B37446"/>
    <w:rPr>
      <w:rFonts w:ascii="Times New Roman" w:hAnsi="Times New Roman" w:cs="Times New Roman"/>
      <w:sz w:val="18"/>
      <w:szCs w:val="18"/>
    </w:rPr>
  </w:style>
  <w:style w:type="paragraph" w:styleId="ListParagraph">
    <w:name w:val="List Paragraph"/>
    <w:basedOn w:val="Normal"/>
    <w:uiPriority w:val="34"/>
    <w:qFormat/>
    <w:rsid w:val="00C62D62"/>
    <w:pPr>
      <w:ind w:left="720"/>
      <w:contextualSpacing/>
    </w:pPr>
  </w:style>
  <w:style w:type="paragraph" w:styleId="Caption">
    <w:name w:val="caption"/>
    <w:basedOn w:val="Normal"/>
    <w:next w:val="Normal"/>
    <w:uiPriority w:val="35"/>
    <w:unhideWhenUsed/>
    <w:qFormat/>
    <w:rsid w:val="00FF6EFF"/>
    <w:pPr>
      <w:spacing w:after="200"/>
    </w:pPr>
    <w:rPr>
      <w:i/>
      <w:iCs/>
      <w:color w:val="44546A" w:themeColor="text2"/>
      <w:sz w:val="18"/>
      <w:szCs w:val="18"/>
    </w:rPr>
  </w:style>
  <w:style w:type="character" w:styleId="PlaceholderText">
    <w:name w:val="Placeholder Text"/>
    <w:basedOn w:val="DefaultParagraphFont"/>
    <w:uiPriority w:val="99"/>
    <w:semiHidden/>
    <w:rsid w:val="003C4039"/>
    <w:rPr>
      <w:color w:val="808080"/>
    </w:rPr>
  </w:style>
  <w:style w:type="character" w:customStyle="1" w:styleId="apple-converted-space">
    <w:name w:val="apple-converted-space"/>
    <w:basedOn w:val="DefaultParagraphFont"/>
    <w:rsid w:val="000B7D10"/>
  </w:style>
  <w:style w:type="table" w:styleId="TableGrid">
    <w:name w:val="Table Grid"/>
    <w:basedOn w:val="TableNormal"/>
    <w:uiPriority w:val="39"/>
    <w:rsid w:val="0094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94022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5E2ADD"/>
    <w:pPr>
      <w:tabs>
        <w:tab w:val="center" w:pos="4680"/>
        <w:tab w:val="right" w:pos="9360"/>
      </w:tabs>
    </w:pPr>
  </w:style>
  <w:style w:type="character" w:customStyle="1" w:styleId="HeaderChar">
    <w:name w:val="Header Char"/>
    <w:basedOn w:val="DefaultParagraphFont"/>
    <w:link w:val="Header"/>
    <w:uiPriority w:val="99"/>
    <w:rsid w:val="005E2ADD"/>
  </w:style>
  <w:style w:type="paragraph" w:styleId="Footer">
    <w:name w:val="footer"/>
    <w:basedOn w:val="Normal"/>
    <w:link w:val="FooterChar"/>
    <w:uiPriority w:val="99"/>
    <w:unhideWhenUsed/>
    <w:rsid w:val="005E2ADD"/>
    <w:pPr>
      <w:tabs>
        <w:tab w:val="center" w:pos="4680"/>
        <w:tab w:val="right" w:pos="9360"/>
      </w:tabs>
    </w:pPr>
  </w:style>
  <w:style w:type="character" w:customStyle="1" w:styleId="FooterChar">
    <w:name w:val="Footer Char"/>
    <w:basedOn w:val="DefaultParagraphFont"/>
    <w:link w:val="Footer"/>
    <w:uiPriority w:val="99"/>
    <w:rsid w:val="005E2ADD"/>
  </w:style>
  <w:style w:type="paragraph" w:styleId="HTMLPreformatted">
    <w:name w:val="HTML Preformatted"/>
    <w:basedOn w:val="Normal"/>
    <w:link w:val="HTMLPreformattedChar"/>
    <w:uiPriority w:val="99"/>
    <w:unhideWhenUsed/>
    <w:rsid w:val="00D94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941D6"/>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29043B"/>
    <w:rPr>
      <w:sz w:val="16"/>
      <w:szCs w:val="16"/>
    </w:rPr>
  </w:style>
  <w:style w:type="paragraph" w:styleId="CommentText">
    <w:name w:val="annotation text"/>
    <w:basedOn w:val="Normal"/>
    <w:link w:val="CommentTextChar"/>
    <w:uiPriority w:val="99"/>
    <w:semiHidden/>
    <w:unhideWhenUsed/>
    <w:rsid w:val="0029043B"/>
    <w:rPr>
      <w:sz w:val="20"/>
      <w:szCs w:val="20"/>
    </w:rPr>
  </w:style>
  <w:style w:type="character" w:customStyle="1" w:styleId="CommentTextChar">
    <w:name w:val="Comment Text Char"/>
    <w:basedOn w:val="DefaultParagraphFont"/>
    <w:link w:val="CommentText"/>
    <w:uiPriority w:val="99"/>
    <w:semiHidden/>
    <w:rsid w:val="0029043B"/>
    <w:rPr>
      <w:rFonts w:ascii="Times New Roman" w:eastAsia="Times New Roman" w:hAnsi="Times New Roman" w:cs="Times New Roman"/>
      <w:sz w:val="20"/>
      <w:szCs w:val="20"/>
    </w:rPr>
  </w:style>
  <w:style w:type="paragraph" w:styleId="NormalWeb">
    <w:name w:val="Normal (Web)"/>
    <w:basedOn w:val="Normal"/>
    <w:uiPriority w:val="99"/>
    <w:unhideWhenUsed/>
    <w:rsid w:val="00566473"/>
    <w:pPr>
      <w:spacing w:before="100" w:beforeAutospacing="1" w:after="100" w:afterAutospacing="1"/>
    </w:pPr>
  </w:style>
  <w:style w:type="character" w:styleId="Hyperlink">
    <w:name w:val="Hyperlink"/>
    <w:basedOn w:val="DefaultParagraphFont"/>
    <w:uiPriority w:val="99"/>
    <w:unhideWhenUsed/>
    <w:rsid w:val="009B4F8C"/>
    <w:rPr>
      <w:color w:val="0563C1" w:themeColor="hyperlink"/>
      <w:u w:val="single"/>
    </w:rPr>
  </w:style>
  <w:style w:type="character" w:styleId="UnresolvedMention">
    <w:name w:val="Unresolved Mention"/>
    <w:basedOn w:val="DefaultParagraphFont"/>
    <w:uiPriority w:val="99"/>
    <w:semiHidden/>
    <w:unhideWhenUsed/>
    <w:rsid w:val="009B4F8C"/>
    <w:rPr>
      <w:color w:val="605E5C"/>
      <w:shd w:val="clear" w:color="auto" w:fill="E1DFDD"/>
    </w:rPr>
  </w:style>
  <w:style w:type="character" w:customStyle="1" w:styleId="mi">
    <w:name w:val="mi"/>
    <w:basedOn w:val="DefaultParagraphFont"/>
    <w:rsid w:val="008B6D97"/>
  </w:style>
  <w:style w:type="character" w:customStyle="1" w:styleId="mo">
    <w:name w:val="mo"/>
    <w:basedOn w:val="DefaultParagraphFont"/>
    <w:rsid w:val="008B6D97"/>
  </w:style>
  <w:style w:type="character" w:customStyle="1" w:styleId="mn">
    <w:name w:val="mn"/>
    <w:basedOn w:val="DefaultParagraphFont"/>
    <w:rsid w:val="008B6D97"/>
  </w:style>
  <w:style w:type="character" w:customStyle="1" w:styleId="Heading1Char">
    <w:name w:val="Heading 1 Char"/>
    <w:basedOn w:val="DefaultParagraphFont"/>
    <w:link w:val="Heading1"/>
    <w:rsid w:val="00BE14B4"/>
    <w:rPr>
      <w:rFonts w:ascii="Times New Roman" w:eastAsia="Times New Roman" w:hAnsi="Times New Roman" w:cs="Times New Roman"/>
      <w:sz w:val="32"/>
      <w:lang w:eastAsia="en-US"/>
    </w:rPr>
  </w:style>
  <w:style w:type="paragraph" w:styleId="Title">
    <w:name w:val="Title"/>
    <w:basedOn w:val="Normal"/>
    <w:link w:val="TitleChar"/>
    <w:qFormat/>
    <w:rsid w:val="00BE14B4"/>
    <w:pPr>
      <w:jc w:val="center"/>
    </w:pPr>
    <w:rPr>
      <w:sz w:val="40"/>
      <w:lang w:eastAsia="en-US"/>
    </w:rPr>
  </w:style>
  <w:style w:type="character" w:customStyle="1" w:styleId="TitleChar">
    <w:name w:val="Title Char"/>
    <w:basedOn w:val="DefaultParagraphFont"/>
    <w:link w:val="Title"/>
    <w:rsid w:val="00BE14B4"/>
    <w:rPr>
      <w:rFonts w:ascii="Times New Roman" w:eastAsia="Times New Roman" w:hAnsi="Times New Roman" w:cs="Times New Roman"/>
      <w:sz w:val="4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87556">
      <w:bodyDiv w:val="1"/>
      <w:marLeft w:val="0"/>
      <w:marRight w:val="0"/>
      <w:marTop w:val="0"/>
      <w:marBottom w:val="0"/>
      <w:divBdr>
        <w:top w:val="none" w:sz="0" w:space="0" w:color="auto"/>
        <w:left w:val="none" w:sz="0" w:space="0" w:color="auto"/>
        <w:bottom w:val="none" w:sz="0" w:space="0" w:color="auto"/>
        <w:right w:val="none" w:sz="0" w:space="0" w:color="auto"/>
      </w:divBdr>
    </w:div>
    <w:div w:id="35198939">
      <w:bodyDiv w:val="1"/>
      <w:marLeft w:val="0"/>
      <w:marRight w:val="0"/>
      <w:marTop w:val="0"/>
      <w:marBottom w:val="0"/>
      <w:divBdr>
        <w:top w:val="none" w:sz="0" w:space="0" w:color="auto"/>
        <w:left w:val="none" w:sz="0" w:space="0" w:color="auto"/>
        <w:bottom w:val="none" w:sz="0" w:space="0" w:color="auto"/>
        <w:right w:val="none" w:sz="0" w:space="0" w:color="auto"/>
      </w:divBdr>
    </w:div>
    <w:div w:id="42868378">
      <w:bodyDiv w:val="1"/>
      <w:marLeft w:val="0"/>
      <w:marRight w:val="0"/>
      <w:marTop w:val="0"/>
      <w:marBottom w:val="0"/>
      <w:divBdr>
        <w:top w:val="none" w:sz="0" w:space="0" w:color="auto"/>
        <w:left w:val="none" w:sz="0" w:space="0" w:color="auto"/>
        <w:bottom w:val="none" w:sz="0" w:space="0" w:color="auto"/>
        <w:right w:val="none" w:sz="0" w:space="0" w:color="auto"/>
      </w:divBdr>
    </w:div>
    <w:div w:id="45371227">
      <w:bodyDiv w:val="1"/>
      <w:marLeft w:val="0"/>
      <w:marRight w:val="0"/>
      <w:marTop w:val="0"/>
      <w:marBottom w:val="0"/>
      <w:divBdr>
        <w:top w:val="none" w:sz="0" w:space="0" w:color="auto"/>
        <w:left w:val="none" w:sz="0" w:space="0" w:color="auto"/>
        <w:bottom w:val="none" w:sz="0" w:space="0" w:color="auto"/>
        <w:right w:val="none" w:sz="0" w:space="0" w:color="auto"/>
      </w:divBdr>
    </w:div>
    <w:div w:id="58986102">
      <w:bodyDiv w:val="1"/>
      <w:marLeft w:val="0"/>
      <w:marRight w:val="0"/>
      <w:marTop w:val="0"/>
      <w:marBottom w:val="0"/>
      <w:divBdr>
        <w:top w:val="none" w:sz="0" w:space="0" w:color="auto"/>
        <w:left w:val="none" w:sz="0" w:space="0" w:color="auto"/>
        <w:bottom w:val="none" w:sz="0" w:space="0" w:color="auto"/>
        <w:right w:val="none" w:sz="0" w:space="0" w:color="auto"/>
      </w:divBdr>
    </w:div>
    <w:div w:id="64425156">
      <w:bodyDiv w:val="1"/>
      <w:marLeft w:val="0"/>
      <w:marRight w:val="0"/>
      <w:marTop w:val="0"/>
      <w:marBottom w:val="0"/>
      <w:divBdr>
        <w:top w:val="none" w:sz="0" w:space="0" w:color="auto"/>
        <w:left w:val="none" w:sz="0" w:space="0" w:color="auto"/>
        <w:bottom w:val="none" w:sz="0" w:space="0" w:color="auto"/>
        <w:right w:val="none" w:sz="0" w:space="0" w:color="auto"/>
      </w:divBdr>
    </w:div>
    <w:div w:id="66461469">
      <w:bodyDiv w:val="1"/>
      <w:marLeft w:val="0"/>
      <w:marRight w:val="0"/>
      <w:marTop w:val="0"/>
      <w:marBottom w:val="0"/>
      <w:divBdr>
        <w:top w:val="none" w:sz="0" w:space="0" w:color="auto"/>
        <w:left w:val="none" w:sz="0" w:space="0" w:color="auto"/>
        <w:bottom w:val="none" w:sz="0" w:space="0" w:color="auto"/>
        <w:right w:val="none" w:sz="0" w:space="0" w:color="auto"/>
      </w:divBdr>
    </w:div>
    <w:div w:id="69431928">
      <w:bodyDiv w:val="1"/>
      <w:marLeft w:val="0"/>
      <w:marRight w:val="0"/>
      <w:marTop w:val="0"/>
      <w:marBottom w:val="0"/>
      <w:divBdr>
        <w:top w:val="none" w:sz="0" w:space="0" w:color="auto"/>
        <w:left w:val="none" w:sz="0" w:space="0" w:color="auto"/>
        <w:bottom w:val="none" w:sz="0" w:space="0" w:color="auto"/>
        <w:right w:val="none" w:sz="0" w:space="0" w:color="auto"/>
      </w:divBdr>
    </w:div>
    <w:div w:id="92627330">
      <w:bodyDiv w:val="1"/>
      <w:marLeft w:val="0"/>
      <w:marRight w:val="0"/>
      <w:marTop w:val="0"/>
      <w:marBottom w:val="0"/>
      <w:divBdr>
        <w:top w:val="none" w:sz="0" w:space="0" w:color="auto"/>
        <w:left w:val="none" w:sz="0" w:space="0" w:color="auto"/>
        <w:bottom w:val="none" w:sz="0" w:space="0" w:color="auto"/>
        <w:right w:val="none" w:sz="0" w:space="0" w:color="auto"/>
      </w:divBdr>
    </w:div>
    <w:div w:id="137960752">
      <w:bodyDiv w:val="1"/>
      <w:marLeft w:val="0"/>
      <w:marRight w:val="0"/>
      <w:marTop w:val="0"/>
      <w:marBottom w:val="0"/>
      <w:divBdr>
        <w:top w:val="none" w:sz="0" w:space="0" w:color="auto"/>
        <w:left w:val="none" w:sz="0" w:space="0" w:color="auto"/>
        <w:bottom w:val="none" w:sz="0" w:space="0" w:color="auto"/>
        <w:right w:val="none" w:sz="0" w:space="0" w:color="auto"/>
      </w:divBdr>
    </w:div>
    <w:div w:id="154304013">
      <w:bodyDiv w:val="1"/>
      <w:marLeft w:val="0"/>
      <w:marRight w:val="0"/>
      <w:marTop w:val="0"/>
      <w:marBottom w:val="0"/>
      <w:divBdr>
        <w:top w:val="none" w:sz="0" w:space="0" w:color="auto"/>
        <w:left w:val="none" w:sz="0" w:space="0" w:color="auto"/>
        <w:bottom w:val="none" w:sz="0" w:space="0" w:color="auto"/>
        <w:right w:val="none" w:sz="0" w:space="0" w:color="auto"/>
      </w:divBdr>
    </w:div>
    <w:div w:id="156851002">
      <w:bodyDiv w:val="1"/>
      <w:marLeft w:val="0"/>
      <w:marRight w:val="0"/>
      <w:marTop w:val="0"/>
      <w:marBottom w:val="0"/>
      <w:divBdr>
        <w:top w:val="none" w:sz="0" w:space="0" w:color="auto"/>
        <w:left w:val="none" w:sz="0" w:space="0" w:color="auto"/>
        <w:bottom w:val="none" w:sz="0" w:space="0" w:color="auto"/>
        <w:right w:val="none" w:sz="0" w:space="0" w:color="auto"/>
      </w:divBdr>
    </w:div>
    <w:div w:id="184294804">
      <w:bodyDiv w:val="1"/>
      <w:marLeft w:val="0"/>
      <w:marRight w:val="0"/>
      <w:marTop w:val="0"/>
      <w:marBottom w:val="0"/>
      <w:divBdr>
        <w:top w:val="none" w:sz="0" w:space="0" w:color="auto"/>
        <w:left w:val="none" w:sz="0" w:space="0" w:color="auto"/>
        <w:bottom w:val="none" w:sz="0" w:space="0" w:color="auto"/>
        <w:right w:val="none" w:sz="0" w:space="0" w:color="auto"/>
      </w:divBdr>
    </w:div>
    <w:div w:id="191260511">
      <w:bodyDiv w:val="1"/>
      <w:marLeft w:val="0"/>
      <w:marRight w:val="0"/>
      <w:marTop w:val="0"/>
      <w:marBottom w:val="0"/>
      <w:divBdr>
        <w:top w:val="none" w:sz="0" w:space="0" w:color="auto"/>
        <w:left w:val="none" w:sz="0" w:space="0" w:color="auto"/>
        <w:bottom w:val="none" w:sz="0" w:space="0" w:color="auto"/>
        <w:right w:val="none" w:sz="0" w:space="0" w:color="auto"/>
      </w:divBdr>
    </w:div>
    <w:div w:id="196478551">
      <w:bodyDiv w:val="1"/>
      <w:marLeft w:val="0"/>
      <w:marRight w:val="0"/>
      <w:marTop w:val="0"/>
      <w:marBottom w:val="0"/>
      <w:divBdr>
        <w:top w:val="none" w:sz="0" w:space="0" w:color="auto"/>
        <w:left w:val="none" w:sz="0" w:space="0" w:color="auto"/>
        <w:bottom w:val="none" w:sz="0" w:space="0" w:color="auto"/>
        <w:right w:val="none" w:sz="0" w:space="0" w:color="auto"/>
      </w:divBdr>
    </w:div>
    <w:div w:id="215554115">
      <w:bodyDiv w:val="1"/>
      <w:marLeft w:val="0"/>
      <w:marRight w:val="0"/>
      <w:marTop w:val="0"/>
      <w:marBottom w:val="0"/>
      <w:divBdr>
        <w:top w:val="none" w:sz="0" w:space="0" w:color="auto"/>
        <w:left w:val="none" w:sz="0" w:space="0" w:color="auto"/>
        <w:bottom w:val="none" w:sz="0" w:space="0" w:color="auto"/>
        <w:right w:val="none" w:sz="0" w:space="0" w:color="auto"/>
      </w:divBdr>
    </w:div>
    <w:div w:id="221869463">
      <w:bodyDiv w:val="1"/>
      <w:marLeft w:val="0"/>
      <w:marRight w:val="0"/>
      <w:marTop w:val="0"/>
      <w:marBottom w:val="0"/>
      <w:divBdr>
        <w:top w:val="none" w:sz="0" w:space="0" w:color="auto"/>
        <w:left w:val="none" w:sz="0" w:space="0" w:color="auto"/>
        <w:bottom w:val="none" w:sz="0" w:space="0" w:color="auto"/>
        <w:right w:val="none" w:sz="0" w:space="0" w:color="auto"/>
      </w:divBdr>
    </w:div>
    <w:div w:id="231039556">
      <w:bodyDiv w:val="1"/>
      <w:marLeft w:val="0"/>
      <w:marRight w:val="0"/>
      <w:marTop w:val="0"/>
      <w:marBottom w:val="0"/>
      <w:divBdr>
        <w:top w:val="none" w:sz="0" w:space="0" w:color="auto"/>
        <w:left w:val="none" w:sz="0" w:space="0" w:color="auto"/>
        <w:bottom w:val="none" w:sz="0" w:space="0" w:color="auto"/>
        <w:right w:val="none" w:sz="0" w:space="0" w:color="auto"/>
      </w:divBdr>
    </w:div>
    <w:div w:id="245959662">
      <w:bodyDiv w:val="1"/>
      <w:marLeft w:val="0"/>
      <w:marRight w:val="0"/>
      <w:marTop w:val="0"/>
      <w:marBottom w:val="0"/>
      <w:divBdr>
        <w:top w:val="none" w:sz="0" w:space="0" w:color="auto"/>
        <w:left w:val="none" w:sz="0" w:space="0" w:color="auto"/>
        <w:bottom w:val="none" w:sz="0" w:space="0" w:color="auto"/>
        <w:right w:val="none" w:sz="0" w:space="0" w:color="auto"/>
      </w:divBdr>
    </w:div>
    <w:div w:id="267389970">
      <w:bodyDiv w:val="1"/>
      <w:marLeft w:val="0"/>
      <w:marRight w:val="0"/>
      <w:marTop w:val="0"/>
      <w:marBottom w:val="0"/>
      <w:divBdr>
        <w:top w:val="none" w:sz="0" w:space="0" w:color="auto"/>
        <w:left w:val="none" w:sz="0" w:space="0" w:color="auto"/>
        <w:bottom w:val="none" w:sz="0" w:space="0" w:color="auto"/>
        <w:right w:val="none" w:sz="0" w:space="0" w:color="auto"/>
      </w:divBdr>
    </w:div>
    <w:div w:id="267856654">
      <w:bodyDiv w:val="1"/>
      <w:marLeft w:val="0"/>
      <w:marRight w:val="0"/>
      <w:marTop w:val="0"/>
      <w:marBottom w:val="0"/>
      <w:divBdr>
        <w:top w:val="none" w:sz="0" w:space="0" w:color="auto"/>
        <w:left w:val="none" w:sz="0" w:space="0" w:color="auto"/>
        <w:bottom w:val="none" w:sz="0" w:space="0" w:color="auto"/>
        <w:right w:val="none" w:sz="0" w:space="0" w:color="auto"/>
      </w:divBdr>
    </w:div>
    <w:div w:id="296300277">
      <w:bodyDiv w:val="1"/>
      <w:marLeft w:val="0"/>
      <w:marRight w:val="0"/>
      <w:marTop w:val="0"/>
      <w:marBottom w:val="0"/>
      <w:divBdr>
        <w:top w:val="none" w:sz="0" w:space="0" w:color="auto"/>
        <w:left w:val="none" w:sz="0" w:space="0" w:color="auto"/>
        <w:bottom w:val="none" w:sz="0" w:space="0" w:color="auto"/>
        <w:right w:val="none" w:sz="0" w:space="0" w:color="auto"/>
      </w:divBdr>
    </w:div>
    <w:div w:id="298613464">
      <w:bodyDiv w:val="1"/>
      <w:marLeft w:val="0"/>
      <w:marRight w:val="0"/>
      <w:marTop w:val="0"/>
      <w:marBottom w:val="0"/>
      <w:divBdr>
        <w:top w:val="none" w:sz="0" w:space="0" w:color="auto"/>
        <w:left w:val="none" w:sz="0" w:space="0" w:color="auto"/>
        <w:bottom w:val="none" w:sz="0" w:space="0" w:color="auto"/>
        <w:right w:val="none" w:sz="0" w:space="0" w:color="auto"/>
      </w:divBdr>
    </w:div>
    <w:div w:id="320088031">
      <w:bodyDiv w:val="1"/>
      <w:marLeft w:val="0"/>
      <w:marRight w:val="0"/>
      <w:marTop w:val="0"/>
      <w:marBottom w:val="0"/>
      <w:divBdr>
        <w:top w:val="none" w:sz="0" w:space="0" w:color="auto"/>
        <w:left w:val="none" w:sz="0" w:space="0" w:color="auto"/>
        <w:bottom w:val="none" w:sz="0" w:space="0" w:color="auto"/>
        <w:right w:val="none" w:sz="0" w:space="0" w:color="auto"/>
      </w:divBdr>
    </w:div>
    <w:div w:id="356277976">
      <w:bodyDiv w:val="1"/>
      <w:marLeft w:val="0"/>
      <w:marRight w:val="0"/>
      <w:marTop w:val="0"/>
      <w:marBottom w:val="0"/>
      <w:divBdr>
        <w:top w:val="none" w:sz="0" w:space="0" w:color="auto"/>
        <w:left w:val="none" w:sz="0" w:space="0" w:color="auto"/>
        <w:bottom w:val="none" w:sz="0" w:space="0" w:color="auto"/>
        <w:right w:val="none" w:sz="0" w:space="0" w:color="auto"/>
      </w:divBdr>
    </w:div>
    <w:div w:id="411390958">
      <w:bodyDiv w:val="1"/>
      <w:marLeft w:val="0"/>
      <w:marRight w:val="0"/>
      <w:marTop w:val="0"/>
      <w:marBottom w:val="0"/>
      <w:divBdr>
        <w:top w:val="none" w:sz="0" w:space="0" w:color="auto"/>
        <w:left w:val="none" w:sz="0" w:space="0" w:color="auto"/>
        <w:bottom w:val="none" w:sz="0" w:space="0" w:color="auto"/>
        <w:right w:val="none" w:sz="0" w:space="0" w:color="auto"/>
      </w:divBdr>
    </w:div>
    <w:div w:id="414397158">
      <w:bodyDiv w:val="1"/>
      <w:marLeft w:val="0"/>
      <w:marRight w:val="0"/>
      <w:marTop w:val="0"/>
      <w:marBottom w:val="0"/>
      <w:divBdr>
        <w:top w:val="none" w:sz="0" w:space="0" w:color="auto"/>
        <w:left w:val="none" w:sz="0" w:space="0" w:color="auto"/>
        <w:bottom w:val="none" w:sz="0" w:space="0" w:color="auto"/>
        <w:right w:val="none" w:sz="0" w:space="0" w:color="auto"/>
      </w:divBdr>
    </w:div>
    <w:div w:id="455951423">
      <w:bodyDiv w:val="1"/>
      <w:marLeft w:val="0"/>
      <w:marRight w:val="0"/>
      <w:marTop w:val="0"/>
      <w:marBottom w:val="0"/>
      <w:divBdr>
        <w:top w:val="none" w:sz="0" w:space="0" w:color="auto"/>
        <w:left w:val="none" w:sz="0" w:space="0" w:color="auto"/>
        <w:bottom w:val="none" w:sz="0" w:space="0" w:color="auto"/>
        <w:right w:val="none" w:sz="0" w:space="0" w:color="auto"/>
      </w:divBdr>
    </w:div>
    <w:div w:id="468984709">
      <w:bodyDiv w:val="1"/>
      <w:marLeft w:val="0"/>
      <w:marRight w:val="0"/>
      <w:marTop w:val="0"/>
      <w:marBottom w:val="0"/>
      <w:divBdr>
        <w:top w:val="none" w:sz="0" w:space="0" w:color="auto"/>
        <w:left w:val="none" w:sz="0" w:space="0" w:color="auto"/>
        <w:bottom w:val="none" w:sz="0" w:space="0" w:color="auto"/>
        <w:right w:val="none" w:sz="0" w:space="0" w:color="auto"/>
      </w:divBdr>
    </w:div>
    <w:div w:id="477111796">
      <w:bodyDiv w:val="1"/>
      <w:marLeft w:val="0"/>
      <w:marRight w:val="0"/>
      <w:marTop w:val="0"/>
      <w:marBottom w:val="0"/>
      <w:divBdr>
        <w:top w:val="none" w:sz="0" w:space="0" w:color="auto"/>
        <w:left w:val="none" w:sz="0" w:space="0" w:color="auto"/>
        <w:bottom w:val="none" w:sz="0" w:space="0" w:color="auto"/>
        <w:right w:val="none" w:sz="0" w:space="0" w:color="auto"/>
      </w:divBdr>
    </w:div>
    <w:div w:id="487867155">
      <w:bodyDiv w:val="1"/>
      <w:marLeft w:val="0"/>
      <w:marRight w:val="0"/>
      <w:marTop w:val="0"/>
      <w:marBottom w:val="0"/>
      <w:divBdr>
        <w:top w:val="none" w:sz="0" w:space="0" w:color="auto"/>
        <w:left w:val="none" w:sz="0" w:space="0" w:color="auto"/>
        <w:bottom w:val="none" w:sz="0" w:space="0" w:color="auto"/>
        <w:right w:val="none" w:sz="0" w:space="0" w:color="auto"/>
      </w:divBdr>
    </w:div>
    <w:div w:id="503931967">
      <w:bodyDiv w:val="1"/>
      <w:marLeft w:val="0"/>
      <w:marRight w:val="0"/>
      <w:marTop w:val="0"/>
      <w:marBottom w:val="0"/>
      <w:divBdr>
        <w:top w:val="none" w:sz="0" w:space="0" w:color="auto"/>
        <w:left w:val="none" w:sz="0" w:space="0" w:color="auto"/>
        <w:bottom w:val="none" w:sz="0" w:space="0" w:color="auto"/>
        <w:right w:val="none" w:sz="0" w:space="0" w:color="auto"/>
      </w:divBdr>
      <w:divsChild>
        <w:div w:id="1956906439">
          <w:marLeft w:val="720"/>
          <w:marRight w:val="0"/>
          <w:marTop w:val="120"/>
          <w:marBottom w:val="0"/>
          <w:divBdr>
            <w:top w:val="none" w:sz="0" w:space="0" w:color="auto"/>
            <w:left w:val="none" w:sz="0" w:space="0" w:color="auto"/>
            <w:bottom w:val="none" w:sz="0" w:space="0" w:color="auto"/>
            <w:right w:val="none" w:sz="0" w:space="0" w:color="auto"/>
          </w:divBdr>
        </w:div>
      </w:divsChild>
    </w:div>
    <w:div w:id="591276847">
      <w:bodyDiv w:val="1"/>
      <w:marLeft w:val="0"/>
      <w:marRight w:val="0"/>
      <w:marTop w:val="0"/>
      <w:marBottom w:val="0"/>
      <w:divBdr>
        <w:top w:val="none" w:sz="0" w:space="0" w:color="auto"/>
        <w:left w:val="none" w:sz="0" w:space="0" w:color="auto"/>
        <w:bottom w:val="none" w:sz="0" w:space="0" w:color="auto"/>
        <w:right w:val="none" w:sz="0" w:space="0" w:color="auto"/>
      </w:divBdr>
    </w:div>
    <w:div w:id="601644861">
      <w:bodyDiv w:val="1"/>
      <w:marLeft w:val="0"/>
      <w:marRight w:val="0"/>
      <w:marTop w:val="0"/>
      <w:marBottom w:val="0"/>
      <w:divBdr>
        <w:top w:val="none" w:sz="0" w:space="0" w:color="auto"/>
        <w:left w:val="none" w:sz="0" w:space="0" w:color="auto"/>
        <w:bottom w:val="none" w:sz="0" w:space="0" w:color="auto"/>
        <w:right w:val="none" w:sz="0" w:space="0" w:color="auto"/>
      </w:divBdr>
    </w:div>
    <w:div w:id="612597211">
      <w:bodyDiv w:val="1"/>
      <w:marLeft w:val="0"/>
      <w:marRight w:val="0"/>
      <w:marTop w:val="0"/>
      <w:marBottom w:val="0"/>
      <w:divBdr>
        <w:top w:val="none" w:sz="0" w:space="0" w:color="auto"/>
        <w:left w:val="none" w:sz="0" w:space="0" w:color="auto"/>
        <w:bottom w:val="none" w:sz="0" w:space="0" w:color="auto"/>
        <w:right w:val="none" w:sz="0" w:space="0" w:color="auto"/>
      </w:divBdr>
    </w:div>
    <w:div w:id="654186131">
      <w:bodyDiv w:val="1"/>
      <w:marLeft w:val="0"/>
      <w:marRight w:val="0"/>
      <w:marTop w:val="0"/>
      <w:marBottom w:val="0"/>
      <w:divBdr>
        <w:top w:val="none" w:sz="0" w:space="0" w:color="auto"/>
        <w:left w:val="none" w:sz="0" w:space="0" w:color="auto"/>
        <w:bottom w:val="none" w:sz="0" w:space="0" w:color="auto"/>
        <w:right w:val="none" w:sz="0" w:space="0" w:color="auto"/>
      </w:divBdr>
    </w:div>
    <w:div w:id="700252544">
      <w:bodyDiv w:val="1"/>
      <w:marLeft w:val="0"/>
      <w:marRight w:val="0"/>
      <w:marTop w:val="0"/>
      <w:marBottom w:val="0"/>
      <w:divBdr>
        <w:top w:val="none" w:sz="0" w:space="0" w:color="auto"/>
        <w:left w:val="none" w:sz="0" w:space="0" w:color="auto"/>
        <w:bottom w:val="none" w:sz="0" w:space="0" w:color="auto"/>
        <w:right w:val="none" w:sz="0" w:space="0" w:color="auto"/>
      </w:divBdr>
    </w:div>
    <w:div w:id="700278218">
      <w:bodyDiv w:val="1"/>
      <w:marLeft w:val="0"/>
      <w:marRight w:val="0"/>
      <w:marTop w:val="0"/>
      <w:marBottom w:val="0"/>
      <w:divBdr>
        <w:top w:val="none" w:sz="0" w:space="0" w:color="auto"/>
        <w:left w:val="none" w:sz="0" w:space="0" w:color="auto"/>
        <w:bottom w:val="none" w:sz="0" w:space="0" w:color="auto"/>
        <w:right w:val="none" w:sz="0" w:space="0" w:color="auto"/>
      </w:divBdr>
    </w:div>
    <w:div w:id="711348225">
      <w:bodyDiv w:val="1"/>
      <w:marLeft w:val="0"/>
      <w:marRight w:val="0"/>
      <w:marTop w:val="0"/>
      <w:marBottom w:val="0"/>
      <w:divBdr>
        <w:top w:val="none" w:sz="0" w:space="0" w:color="auto"/>
        <w:left w:val="none" w:sz="0" w:space="0" w:color="auto"/>
        <w:bottom w:val="none" w:sz="0" w:space="0" w:color="auto"/>
        <w:right w:val="none" w:sz="0" w:space="0" w:color="auto"/>
      </w:divBdr>
    </w:div>
    <w:div w:id="726416651">
      <w:bodyDiv w:val="1"/>
      <w:marLeft w:val="0"/>
      <w:marRight w:val="0"/>
      <w:marTop w:val="0"/>
      <w:marBottom w:val="0"/>
      <w:divBdr>
        <w:top w:val="none" w:sz="0" w:space="0" w:color="auto"/>
        <w:left w:val="none" w:sz="0" w:space="0" w:color="auto"/>
        <w:bottom w:val="none" w:sz="0" w:space="0" w:color="auto"/>
        <w:right w:val="none" w:sz="0" w:space="0" w:color="auto"/>
      </w:divBdr>
    </w:div>
    <w:div w:id="811288453">
      <w:bodyDiv w:val="1"/>
      <w:marLeft w:val="0"/>
      <w:marRight w:val="0"/>
      <w:marTop w:val="0"/>
      <w:marBottom w:val="0"/>
      <w:divBdr>
        <w:top w:val="none" w:sz="0" w:space="0" w:color="auto"/>
        <w:left w:val="none" w:sz="0" w:space="0" w:color="auto"/>
        <w:bottom w:val="none" w:sz="0" w:space="0" w:color="auto"/>
        <w:right w:val="none" w:sz="0" w:space="0" w:color="auto"/>
      </w:divBdr>
    </w:div>
    <w:div w:id="842427609">
      <w:bodyDiv w:val="1"/>
      <w:marLeft w:val="0"/>
      <w:marRight w:val="0"/>
      <w:marTop w:val="0"/>
      <w:marBottom w:val="0"/>
      <w:divBdr>
        <w:top w:val="none" w:sz="0" w:space="0" w:color="auto"/>
        <w:left w:val="none" w:sz="0" w:space="0" w:color="auto"/>
        <w:bottom w:val="none" w:sz="0" w:space="0" w:color="auto"/>
        <w:right w:val="none" w:sz="0" w:space="0" w:color="auto"/>
      </w:divBdr>
    </w:div>
    <w:div w:id="948850424">
      <w:bodyDiv w:val="1"/>
      <w:marLeft w:val="0"/>
      <w:marRight w:val="0"/>
      <w:marTop w:val="0"/>
      <w:marBottom w:val="0"/>
      <w:divBdr>
        <w:top w:val="none" w:sz="0" w:space="0" w:color="auto"/>
        <w:left w:val="none" w:sz="0" w:space="0" w:color="auto"/>
        <w:bottom w:val="none" w:sz="0" w:space="0" w:color="auto"/>
        <w:right w:val="none" w:sz="0" w:space="0" w:color="auto"/>
      </w:divBdr>
    </w:div>
    <w:div w:id="960721116">
      <w:bodyDiv w:val="1"/>
      <w:marLeft w:val="0"/>
      <w:marRight w:val="0"/>
      <w:marTop w:val="0"/>
      <w:marBottom w:val="0"/>
      <w:divBdr>
        <w:top w:val="none" w:sz="0" w:space="0" w:color="auto"/>
        <w:left w:val="none" w:sz="0" w:space="0" w:color="auto"/>
        <w:bottom w:val="none" w:sz="0" w:space="0" w:color="auto"/>
        <w:right w:val="none" w:sz="0" w:space="0" w:color="auto"/>
      </w:divBdr>
    </w:div>
    <w:div w:id="978874291">
      <w:bodyDiv w:val="1"/>
      <w:marLeft w:val="0"/>
      <w:marRight w:val="0"/>
      <w:marTop w:val="0"/>
      <w:marBottom w:val="0"/>
      <w:divBdr>
        <w:top w:val="none" w:sz="0" w:space="0" w:color="auto"/>
        <w:left w:val="none" w:sz="0" w:space="0" w:color="auto"/>
        <w:bottom w:val="none" w:sz="0" w:space="0" w:color="auto"/>
        <w:right w:val="none" w:sz="0" w:space="0" w:color="auto"/>
      </w:divBdr>
    </w:div>
    <w:div w:id="1003163555">
      <w:bodyDiv w:val="1"/>
      <w:marLeft w:val="0"/>
      <w:marRight w:val="0"/>
      <w:marTop w:val="0"/>
      <w:marBottom w:val="0"/>
      <w:divBdr>
        <w:top w:val="none" w:sz="0" w:space="0" w:color="auto"/>
        <w:left w:val="none" w:sz="0" w:space="0" w:color="auto"/>
        <w:bottom w:val="none" w:sz="0" w:space="0" w:color="auto"/>
        <w:right w:val="none" w:sz="0" w:space="0" w:color="auto"/>
      </w:divBdr>
    </w:div>
    <w:div w:id="1017266503">
      <w:bodyDiv w:val="1"/>
      <w:marLeft w:val="0"/>
      <w:marRight w:val="0"/>
      <w:marTop w:val="0"/>
      <w:marBottom w:val="0"/>
      <w:divBdr>
        <w:top w:val="none" w:sz="0" w:space="0" w:color="auto"/>
        <w:left w:val="none" w:sz="0" w:space="0" w:color="auto"/>
        <w:bottom w:val="none" w:sz="0" w:space="0" w:color="auto"/>
        <w:right w:val="none" w:sz="0" w:space="0" w:color="auto"/>
      </w:divBdr>
    </w:div>
    <w:div w:id="1106343691">
      <w:bodyDiv w:val="1"/>
      <w:marLeft w:val="0"/>
      <w:marRight w:val="0"/>
      <w:marTop w:val="0"/>
      <w:marBottom w:val="0"/>
      <w:divBdr>
        <w:top w:val="none" w:sz="0" w:space="0" w:color="auto"/>
        <w:left w:val="none" w:sz="0" w:space="0" w:color="auto"/>
        <w:bottom w:val="none" w:sz="0" w:space="0" w:color="auto"/>
        <w:right w:val="none" w:sz="0" w:space="0" w:color="auto"/>
      </w:divBdr>
    </w:div>
    <w:div w:id="1128930601">
      <w:bodyDiv w:val="1"/>
      <w:marLeft w:val="0"/>
      <w:marRight w:val="0"/>
      <w:marTop w:val="0"/>
      <w:marBottom w:val="0"/>
      <w:divBdr>
        <w:top w:val="none" w:sz="0" w:space="0" w:color="auto"/>
        <w:left w:val="none" w:sz="0" w:space="0" w:color="auto"/>
        <w:bottom w:val="none" w:sz="0" w:space="0" w:color="auto"/>
        <w:right w:val="none" w:sz="0" w:space="0" w:color="auto"/>
      </w:divBdr>
    </w:div>
    <w:div w:id="1198197672">
      <w:bodyDiv w:val="1"/>
      <w:marLeft w:val="0"/>
      <w:marRight w:val="0"/>
      <w:marTop w:val="0"/>
      <w:marBottom w:val="0"/>
      <w:divBdr>
        <w:top w:val="none" w:sz="0" w:space="0" w:color="auto"/>
        <w:left w:val="none" w:sz="0" w:space="0" w:color="auto"/>
        <w:bottom w:val="none" w:sz="0" w:space="0" w:color="auto"/>
        <w:right w:val="none" w:sz="0" w:space="0" w:color="auto"/>
      </w:divBdr>
    </w:div>
    <w:div w:id="1213738379">
      <w:bodyDiv w:val="1"/>
      <w:marLeft w:val="0"/>
      <w:marRight w:val="0"/>
      <w:marTop w:val="0"/>
      <w:marBottom w:val="0"/>
      <w:divBdr>
        <w:top w:val="none" w:sz="0" w:space="0" w:color="auto"/>
        <w:left w:val="none" w:sz="0" w:space="0" w:color="auto"/>
        <w:bottom w:val="none" w:sz="0" w:space="0" w:color="auto"/>
        <w:right w:val="none" w:sz="0" w:space="0" w:color="auto"/>
      </w:divBdr>
    </w:div>
    <w:div w:id="1226143667">
      <w:bodyDiv w:val="1"/>
      <w:marLeft w:val="0"/>
      <w:marRight w:val="0"/>
      <w:marTop w:val="0"/>
      <w:marBottom w:val="0"/>
      <w:divBdr>
        <w:top w:val="none" w:sz="0" w:space="0" w:color="auto"/>
        <w:left w:val="none" w:sz="0" w:space="0" w:color="auto"/>
        <w:bottom w:val="none" w:sz="0" w:space="0" w:color="auto"/>
        <w:right w:val="none" w:sz="0" w:space="0" w:color="auto"/>
      </w:divBdr>
    </w:div>
    <w:div w:id="1227103429">
      <w:bodyDiv w:val="1"/>
      <w:marLeft w:val="0"/>
      <w:marRight w:val="0"/>
      <w:marTop w:val="0"/>
      <w:marBottom w:val="0"/>
      <w:divBdr>
        <w:top w:val="none" w:sz="0" w:space="0" w:color="auto"/>
        <w:left w:val="none" w:sz="0" w:space="0" w:color="auto"/>
        <w:bottom w:val="none" w:sz="0" w:space="0" w:color="auto"/>
        <w:right w:val="none" w:sz="0" w:space="0" w:color="auto"/>
      </w:divBdr>
    </w:div>
    <w:div w:id="1262761707">
      <w:bodyDiv w:val="1"/>
      <w:marLeft w:val="0"/>
      <w:marRight w:val="0"/>
      <w:marTop w:val="0"/>
      <w:marBottom w:val="0"/>
      <w:divBdr>
        <w:top w:val="none" w:sz="0" w:space="0" w:color="auto"/>
        <w:left w:val="none" w:sz="0" w:space="0" w:color="auto"/>
        <w:bottom w:val="none" w:sz="0" w:space="0" w:color="auto"/>
        <w:right w:val="none" w:sz="0" w:space="0" w:color="auto"/>
      </w:divBdr>
    </w:div>
    <w:div w:id="1279072082">
      <w:bodyDiv w:val="1"/>
      <w:marLeft w:val="0"/>
      <w:marRight w:val="0"/>
      <w:marTop w:val="0"/>
      <w:marBottom w:val="0"/>
      <w:divBdr>
        <w:top w:val="none" w:sz="0" w:space="0" w:color="auto"/>
        <w:left w:val="none" w:sz="0" w:space="0" w:color="auto"/>
        <w:bottom w:val="none" w:sz="0" w:space="0" w:color="auto"/>
        <w:right w:val="none" w:sz="0" w:space="0" w:color="auto"/>
      </w:divBdr>
    </w:div>
    <w:div w:id="1371765481">
      <w:bodyDiv w:val="1"/>
      <w:marLeft w:val="0"/>
      <w:marRight w:val="0"/>
      <w:marTop w:val="0"/>
      <w:marBottom w:val="0"/>
      <w:divBdr>
        <w:top w:val="none" w:sz="0" w:space="0" w:color="auto"/>
        <w:left w:val="none" w:sz="0" w:space="0" w:color="auto"/>
        <w:bottom w:val="none" w:sz="0" w:space="0" w:color="auto"/>
        <w:right w:val="none" w:sz="0" w:space="0" w:color="auto"/>
      </w:divBdr>
    </w:div>
    <w:div w:id="1413239144">
      <w:bodyDiv w:val="1"/>
      <w:marLeft w:val="0"/>
      <w:marRight w:val="0"/>
      <w:marTop w:val="0"/>
      <w:marBottom w:val="0"/>
      <w:divBdr>
        <w:top w:val="none" w:sz="0" w:space="0" w:color="auto"/>
        <w:left w:val="none" w:sz="0" w:space="0" w:color="auto"/>
        <w:bottom w:val="none" w:sz="0" w:space="0" w:color="auto"/>
        <w:right w:val="none" w:sz="0" w:space="0" w:color="auto"/>
      </w:divBdr>
    </w:div>
    <w:div w:id="1435248889">
      <w:bodyDiv w:val="1"/>
      <w:marLeft w:val="0"/>
      <w:marRight w:val="0"/>
      <w:marTop w:val="0"/>
      <w:marBottom w:val="0"/>
      <w:divBdr>
        <w:top w:val="none" w:sz="0" w:space="0" w:color="auto"/>
        <w:left w:val="none" w:sz="0" w:space="0" w:color="auto"/>
        <w:bottom w:val="none" w:sz="0" w:space="0" w:color="auto"/>
        <w:right w:val="none" w:sz="0" w:space="0" w:color="auto"/>
      </w:divBdr>
    </w:div>
    <w:div w:id="1501462236">
      <w:bodyDiv w:val="1"/>
      <w:marLeft w:val="0"/>
      <w:marRight w:val="0"/>
      <w:marTop w:val="0"/>
      <w:marBottom w:val="0"/>
      <w:divBdr>
        <w:top w:val="none" w:sz="0" w:space="0" w:color="auto"/>
        <w:left w:val="none" w:sz="0" w:space="0" w:color="auto"/>
        <w:bottom w:val="none" w:sz="0" w:space="0" w:color="auto"/>
        <w:right w:val="none" w:sz="0" w:space="0" w:color="auto"/>
      </w:divBdr>
    </w:div>
    <w:div w:id="1548486724">
      <w:bodyDiv w:val="1"/>
      <w:marLeft w:val="0"/>
      <w:marRight w:val="0"/>
      <w:marTop w:val="0"/>
      <w:marBottom w:val="0"/>
      <w:divBdr>
        <w:top w:val="none" w:sz="0" w:space="0" w:color="auto"/>
        <w:left w:val="none" w:sz="0" w:space="0" w:color="auto"/>
        <w:bottom w:val="none" w:sz="0" w:space="0" w:color="auto"/>
        <w:right w:val="none" w:sz="0" w:space="0" w:color="auto"/>
      </w:divBdr>
    </w:div>
    <w:div w:id="1557351731">
      <w:bodyDiv w:val="1"/>
      <w:marLeft w:val="0"/>
      <w:marRight w:val="0"/>
      <w:marTop w:val="0"/>
      <w:marBottom w:val="0"/>
      <w:divBdr>
        <w:top w:val="none" w:sz="0" w:space="0" w:color="auto"/>
        <w:left w:val="none" w:sz="0" w:space="0" w:color="auto"/>
        <w:bottom w:val="none" w:sz="0" w:space="0" w:color="auto"/>
        <w:right w:val="none" w:sz="0" w:space="0" w:color="auto"/>
      </w:divBdr>
    </w:div>
    <w:div w:id="1562862061">
      <w:bodyDiv w:val="1"/>
      <w:marLeft w:val="0"/>
      <w:marRight w:val="0"/>
      <w:marTop w:val="0"/>
      <w:marBottom w:val="0"/>
      <w:divBdr>
        <w:top w:val="none" w:sz="0" w:space="0" w:color="auto"/>
        <w:left w:val="none" w:sz="0" w:space="0" w:color="auto"/>
        <w:bottom w:val="none" w:sz="0" w:space="0" w:color="auto"/>
        <w:right w:val="none" w:sz="0" w:space="0" w:color="auto"/>
      </w:divBdr>
    </w:div>
    <w:div w:id="1585256653">
      <w:bodyDiv w:val="1"/>
      <w:marLeft w:val="0"/>
      <w:marRight w:val="0"/>
      <w:marTop w:val="0"/>
      <w:marBottom w:val="0"/>
      <w:divBdr>
        <w:top w:val="none" w:sz="0" w:space="0" w:color="auto"/>
        <w:left w:val="none" w:sz="0" w:space="0" w:color="auto"/>
        <w:bottom w:val="none" w:sz="0" w:space="0" w:color="auto"/>
        <w:right w:val="none" w:sz="0" w:space="0" w:color="auto"/>
      </w:divBdr>
    </w:div>
    <w:div w:id="1586449836">
      <w:bodyDiv w:val="1"/>
      <w:marLeft w:val="0"/>
      <w:marRight w:val="0"/>
      <w:marTop w:val="0"/>
      <w:marBottom w:val="0"/>
      <w:divBdr>
        <w:top w:val="none" w:sz="0" w:space="0" w:color="auto"/>
        <w:left w:val="none" w:sz="0" w:space="0" w:color="auto"/>
        <w:bottom w:val="none" w:sz="0" w:space="0" w:color="auto"/>
        <w:right w:val="none" w:sz="0" w:space="0" w:color="auto"/>
      </w:divBdr>
    </w:div>
    <w:div w:id="1613592198">
      <w:bodyDiv w:val="1"/>
      <w:marLeft w:val="0"/>
      <w:marRight w:val="0"/>
      <w:marTop w:val="0"/>
      <w:marBottom w:val="0"/>
      <w:divBdr>
        <w:top w:val="none" w:sz="0" w:space="0" w:color="auto"/>
        <w:left w:val="none" w:sz="0" w:space="0" w:color="auto"/>
        <w:bottom w:val="none" w:sz="0" w:space="0" w:color="auto"/>
        <w:right w:val="none" w:sz="0" w:space="0" w:color="auto"/>
      </w:divBdr>
    </w:div>
    <w:div w:id="1637221826">
      <w:bodyDiv w:val="1"/>
      <w:marLeft w:val="0"/>
      <w:marRight w:val="0"/>
      <w:marTop w:val="0"/>
      <w:marBottom w:val="0"/>
      <w:divBdr>
        <w:top w:val="none" w:sz="0" w:space="0" w:color="auto"/>
        <w:left w:val="none" w:sz="0" w:space="0" w:color="auto"/>
        <w:bottom w:val="none" w:sz="0" w:space="0" w:color="auto"/>
        <w:right w:val="none" w:sz="0" w:space="0" w:color="auto"/>
      </w:divBdr>
    </w:div>
    <w:div w:id="1650859860">
      <w:bodyDiv w:val="1"/>
      <w:marLeft w:val="0"/>
      <w:marRight w:val="0"/>
      <w:marTop w:val="0"/>
      <w:marBottom w:val="0"/>
      <w:divBdr>
        <w:top w:val="none" w:sz="0" w:space="0" w:color="auto"/>
        <w:left w:val="none" w:sz="0" w:space="0" w:color="auto"/>
        <w:bottom w:val="none" w:sz="0" w:space="0" w:color="auto"/>
        <w:right w:val="none" w:sz="0" w:space="0" w:color="auto"/>
      </w:divBdr>
    </w:div>
    <w:div w:id="1673681619">
      <w:bodyDiv w:val="1"/>
      <w:marLeft w:val="0"/>
      <w:marRight w:val="0"/>
      <w:marTop w:val="0"/>
      <w:marBottom w:val="0"/>
      <w:divBdr>
        <w:top w:val="none" w:sz="0" w:space="0" w:color="auto"/>
        <w:left w:val="none" w:sz="0" w:space="0" w:color="auto"/>
        <w:bottom w:val="none" w:sz="0" w:space="0" w:color="auto"/>
        <w:right w:val="none" w:sz="0" w:space="0" w:color="auto"/>
      </w:divBdr>
    </w:div>
    <w:div w:id="1718435102">
      <w:bodyDiv w:val="1"/>
      <w:marLeft w:val="0"/>
      <w:marRight w:val="0"/>
      <w:marTop w:val="0"/>
      <w:marBottom w:val="0"/>
      <w:divBdr>
        <w:top w:val="none" w:sz="0" w:space="0" w:color="auto"/>
        <w:left w:val="none" w:sz="0" w:space="0" w:color="auto"/>
        <w:bottom w:val="none" w:sz="0" w:space="0" w:color="auto"/>
        <w:right w:val="none" w:sz="0" w:space="0" w:color="auto"/>
      </w:divBdr>
    </w:div>
    <w:div w:id="1724451363">
      <w:bodyDiv w:val="1"/>
      <w:marLeft w:val="0"/>
      <w:marRight w:val="0"/>
      <w:marTop w:val="0"/>
      <w:marBottom w:val="0"/>
      <w:divBdr>
        <w:top w:val="none" w:sz="0" w:space="0" w:color="auto"/>
        <w:left w:val="none" w:sz="0" w:space="0" w:color="auto"/>
        <w:bottom w:val="none" w:sz="0" w:space="0" w:color="auto"/>
        <w:right w:val="none" w:sz="0" w:space="0" w:color="auto"/>
      </w:divBdr>
    </w:div>
    <w:div w:id="1790590299">
      <w:bodyDiv w:val="1"/>
      <w:marLeft w:val="0"/>
      <w:marRight w:val="0"/>
      <w:marTop w:val="0"/>
      <w:marBottom w:val="0"/>
      <w:divBdr>
        <w:top w:val="none" w:sz="0" w:space="0" w:color="auto"/>
        <w:left w:val="none" w:sz="0" w:space="0" w:color="auto"/>
        <w:bottom w:val="none" w:sz="0" w:space="0" w:color="auto"/>
        <w:right w:val="none" w:sz="0" w:space="0" w:color="auto"/>
      </w:divBdr>
    </w:div>
    <w:div w:id="1793597281">
      <w:bodyDiv w:val="1"/>
      <w:marLeft w:val="0"/>
      <w:marRight w:val="0"/>
      <w:marTop w:val="0"/>
      <w:marBottom w:val="0"/>
      <w:divBdr>
        <w:top w:val="none" w:sz="0" w:space="0" w:color="auto"/>
        <w:left w:val="none" w:sz="0" w:space="0" w:color="auto"/>
        <w:bottom w:val="none" w:sz="0" w:space="0" w:color="auto"/>
        <w:right w:val="none" w:sz="0" w:space="0" w:color="auto"/>
      </w:divBdr>
    </w:div>
    <w:div w:id="1801652046">
      <w:bodyDiv w:val="1"/>
      <w:marLeft w:val="0"/>
      <w:marRight w:val="0"/>
      <w:marTop w:val="0"/>
      <w:marBottom w:val="0"/>
      <w:divBdr>
        <w:top w:val="none" w:sz="0" w:space="0" w:color="auto"/>
        <w:left w:val="none" w:sz="0" w:space="0" w:color="auto"/>
        <w:bottom w:val="none" w:sz="0" w:space="0" w:color="auto"/>
        <w:right w:val="none" w:sz="0" w:space="0" w:color="auto"/>
      </w:divBdr>
    </w:div>
    <w:div w:id="1837575054">
      <w:bodyDiv w:val="1"/>
      <w:marLeft w:val="0"/>
      <w:marRight w:val="0"/>
      <w:marTop w:val="0"/>
      <w:marBottom w:val="0"/>
      <w:divBdr>
        <w:top w:val="none" w:sz="0" w:space="0" w:color="auto"/>
        <w:left w:val="none" w:sz="0" w:space="0" w:color="auto"/>
        <w:bottom w:val="none" w:sz="0" w:space="0" w:color="auto"/>
        <w:right w:val="none" w:sz="0" w:space="0" w:color="auto"/>
      </w:divBdr>
    </w:div>
    <w:div w:id="1846436374">
      <w:bodyDiv w:val="1"/>
      <w:marLeft w:val="0"/>
      <w:marRight w:val="0"/>
      <w:marTop w:val="0"/>
      <w:marBottom w:val="0"/>
      <w:divBdr>
        <w:top w:val="none" w:sz="0" w:space="0" w:color="auto"/>
        <w:left w:val="none" w:sz="0" w:space="0" w:color="auto"/>
        <w:bottom w:val="none" w:sz="0" w:space="0" w:color="auto"/>
        <w:right w:val="none" w:sz="0" w:space="0" w:color="auto"/>
      </w:divBdr>
    </w:div>
    <w:div w:id="1860117570">
      <w:bodyDiv w:val="1"/>
      <w:marLeft w:val="0"/>
      <w:marRight w:val="0"/>
      <w:marTop w:val="0"/>
      <w:marBottom w:val="0"/>
      <w:divBdr>
        <w:top w:val="none" w:sz="0" w:space="0" w:color="auto"/>
        <w:left w:val="none" w:sz="0" w:space="0" w:color="auto"/>
        <w:bottom w:val="none" w:sz="0" w:space="0" w:color="auto"/>
        <w:right w:val="none" w:sz="0" w:space="0" w:color="auto"/>
      </w:divBdr>
    </w:div>
    <w:div w:id="1864323202">
      <w:bodyDiv w:val="1"/>
      <w:marLeft w:val="0"/>
      <w:marRight w:val="0"/>
      <w:marTop w:val="0"/>
      <w:marBottom w:val="0"/>
      <w:divBdr>
        <w:top w:val="none" w:sz="0" w:space="0" w:color="auto"/>
        <w:left w:val="none" w:sz="0" w:space="0" w:color="auto"/>
        <w:bottom w:val="none" w:sz="0" w:space="0" w:color="auto"/>
        <w:right w:val="none" w:sz="0" w:space="0" w:color="auto"/>
      </w:divBdr>
    </w:div>
    <w:div w:id="1881624017">
      <w:bodyDiv w:val="1"/>
      <w:marLeft w:val="0"/>
      <w:marRight w:val="0"/>
      <w:marTop w:val="0"/>
      <w:marBottom w:val="0"/>
      <w:divBdr>
        <w:top w:val="none" w:sz="0" w:space="0" w:color="auto"/>
        <w:left w:val="none" w:sz="0" w:space="0" w:color="auto"/>
        <w:bottom w:val="none" w:sz="0" w:space="0" w:color="auto"/>
        <w:right w:val="none" w:sz="0" w:space="0" w:color="auto"/>
      </w:divBdr>
    </w:div>
    <w:div w:id="1898662672">
      <w:bodyDiv w:val="1"/>
      <w:marLeft w:val="0"/>
      <w:marRight w:val="0"/>
      <w:marTop w:val="0"/>
      <w:marBottom w:val="0"/>
      <w:divBdr>
        <w:top w:val="none" w:sz="0" w:space="0" w:color="auto"/>
        <w:left w:val="none" w:sz="0" w:space="0" w:color="auto"/>
        <w:bottom w:val="none" w:sz="0" w:space="0" w:color="auto"/>
        <w:right w:val="none" w:sz="0" w:space="0" w:color="auto"/>
      </w:divBdr>
    </w:div>
    <w:div w:id="1945648417">
      <w:bodyDiv w:val="1"/>
      <w:marLeft w:val="0"/>
      <w:marRight w:val="0"/>
      <w:marTop w:val="0"/>
      <w:marBottom w:val="0"/>
      <w:divBdr>
        <w:top w:val="none" w:sz="0" w:space="0" w:color="auto"/>
        <w:left w:val="none" w:sz="0" w:space="0" w:color="auto"/>
        <w:bottom w:val="none" w:sz="0" w:space="0" w:color="auto"/>
        <w:right w:val="none" w:sz="0" w:space="0" w:color="auto"/>
      </w:divBdr>
    </w:div>
    <w:div w:id="1964770150">
      <w:bodyDiv w:val="1"/>
      <w:marLeft w:val="0"/>
      <w:marRight w:val="0"/>
      <w:marTop w:val="0"/>
      <w:marBottom w:val="0"/>
      <w:divBdr>
        <w:top w:val="none" w:sz="0" w:space="0" w:color="auto"/>
        <w:left w:val="none" w:sz="0" w:space="0" w:color="auto"/>
        <w:bottom w:val="none" w:sz="0" w:space="0" w:color="auto"/>
        <w:right w:val="none" w:sz="0" w:space="0" w:color="auto"/>
      </w:divBdr>
    </w:div>
    <w:div w:id="1987738610">
      <w:bodyDiv w:val="1"/>
      <w:marLeft w:val="0"/>
      <w:marRight w:val="0"/>
      <w:marTop w:val="0"/>
      <w:marBottom w:val="0"/>
      <w:divBdr>
        <w:top w:val="none" w:sz="0" w:space="0" w:color="auto"/>
        <w:left w:val="none" w:sz="0" w:space="0" w:color="auto"/>
        <w:bottom w:val="none" w:sz="0" w:space="0" w:color="auto"/>
        <w:right w:val="none" w:sz="0" w:space="0" w:color="auto"/>
      </w:divBdr>
      <w:divsChild>
        <w:div w:id="810833360">
          <w:marLeft w:val="0"/>
          <w:marRight w:val="0"/>
          <w:marTop w:val="0"/>
          <w:marBottom w:val="0"/>
          <w:divBdr>
            <w:top w:val="none" w:sz="0" w:space="0" w:color="auto"/>
            <w:left w:val="none" w:sz="0" w:space="0" w:color="auto"/>
            <w:bottom w:val="none" w:sz="0" w:space="0" w:color="auto"/>
            <w:right w:val="none" w:sz="0" w:space="0" w:color="auto"/>
          </w:divBdr>
        </w:div>
        <w:div w:id="878009513">
          <w:marLeft w:val="0"/>
          <w:marRight w:val="0"/>
          <w:marTop w:val="0"/>
          <w:marBottom w:val="0"/>
          <w:divBdr>
            <w:top w:val="none" w:sz="0" w:space="0" w:color="auto"/>
            <w:left w:val="none" w:sz="0" w:space="0" w:color="auto"/>
            <w:bottom w:val="none" w:sz="0" w:space="0" w:color="auto"/>
            <w:right w:val="none" w:sz="0" w:space="0" w:color="auto"/>
          </w:divBdr>
        </w:div>
        <w:div w:id="1468818889">
          <w:marLeft w:val="0"/>
          <w:marRight w:val="0"/>
          <w:marTop w:val="0"/>
          <w:marBottom w:val="0"/>
          <w:divBdr>
            <w:top w:val="none" w:sz="0" w:space="0" w:color="auto"/>
            <w:left w:val="none" w:sz="0" w:space="0" w:color="auto"/>
            <w:bottom w:val="none" w:sz="0" w:space="0" w:color="auto"/>
            <w:right w:val="none" w:sz="0" w:space="0" w:color="auto"/>
          </w:divBdr>
        </w:div>
      </w:divsChild>
    </w:div>
    <w:div w:id="1991863402">
      <w:bodyDiv w:val="1"/>
      <w:marLeft w:val="0"/>
      <w:marRight w:val="0"/>
      <w:marTop w:val="0"/>
      <w:marBottom w:val="0"/>
      <w:divBdr>
        <w:top w:val="none" w:sz="0" w:space="0" w:color="auto"/>
        <w:left w:val="none" w:sz="0" w:space="0" w:color="auto"/>
        <w:bottom w:val="none" w:sz="0" w:space="0" w:color="auto"/>
        <w:right w:val="none" w:sz="0" w:space="0" w:color="auto"/>
      </w:divBdr>
    </w:div>
    <w:div w:id="2043746279">
      <w:bodyDiv w:val="1"/>
      <w:marLeft w:val="0"/>
      <w:marRight w:val="0"/>
      <w:marTop w:val="0"/>
      <w:marBottom w:val="0"/>
      <w:divBdr>
        <w:top w:val="none" w:sz="0" w:space="0" w:color="auto"/>
        <w:left w:val="none" w:sz="0" w:space="0" w:color="auto"/>
        <w:bottom w:val="none" w:sz="0" w:space="0" w:color="auto"/>
        <w:right w:val="none" w:sz="0" w:space="0" w:color="auto"/>
      </w:divBdr>
    </w:div>
    <w:div w:id="2051805626">
      <w:bodyDiv w:val="1"/>
      <w:marLeft w:val="0"/>
      <w:marRight w:val="0"/>
      <w:marTop w:val="0"/>
      <w:marBottom w:val="0"/>
      <w:divBdr>
        <w:top w:val="none" w:sz="0" w:space="0" w:color="auto"/>
        <w:left w:val="none" w:sz="0" w:space="0" w:color="auto"/>
        <w:bottom w:val="none" w:sz="0" w:space="0" w:color="auto"/>
        <w:right w:val="none" w:sz="0" w:space="0" w:color="auto"/>
      </w:divBdr>
    </w:div>
    <w:div w:id="2061053684">
      <w:bodyDiv w:val="1"/>
      <w:marLeft w:val="0"/>
      <w:marRight w:val="0"/>
      <w:marTop w:val="0"/>
      <w:marBottom w:val="0"/>
      <w:divBdr>
        <w:top w:val="none" w:sz="0" w:space="0" w:color="auto"/>
        <w:left w:val="none" w:sz="0" w:space="0" w:color="auto"/>
        <w:bottom w:val="none" w:sz="0" w:space="0" w:color="auto"/>
        <w:right w:val="none" w:sz="0" w:space="0" w:color="auto"/>
      </w:divBdr>
      <w:divsChild>
        <w:div w:id="1378775587">
          <w:marLeft w:val="0"/>
          <w:marRight w:val="0"/>
          <w:marTop w:val="0"/>
          <w:marBottom w:val="0"/>
          <w:divBdr>
            <w:top w:val="none" w:sz="0" w:space="0" w:color="auto"/>
            <w:left w:val="none" w:sz="0" w:space="0" w:color="auto"/>
            <w:bottom w:val="none" w:sz="0" w:space="0" w:color="auto"/>
            <w:right w:val="none" w:sz="0" w:space="0" w:color="auto"/>
          </w:divBdr>
          <w:divsChild>
            <w:div w:id="132601173">
              <w:marLeft w:val="0"/>
              <w:marRight w:val="0"/>
              <w:marTop w:val="0"/>
              <w:marBottom w:val="0"/>
              <w:divBdr>
                <w:top w:val="none" w:sz="0" w:space="0" w:color="auto"/>
                <w:left w:val="none" w:sz="0" w:space="0" w:color="auto"/>
                <w:bottom w:val="none" w:sz="0" w:space="0" w:color="auto"/>
                <w:right w:val="none" w:sz="0" w:space="0" w:color="auto"/>
              </w:divBdr>
              <w:divsChild>
                <w:div w:id="2044595621">
                  <w:marLeft w:val="0"/>
                  <w:marRight w:val="0"/>
                  <w:marTop w:val="0"/>
                  <w:marBottom w:val="0"/>
                  <w:divBdr>
                    <w:top w:val="none" w:sz="0" w:space="0" w:color="auto"/>
                    <w:left w:val="none" w:sz="0" w:space="0" w:color="auto"/>
                    <w:bottom w:val="none" w:sz="0" w:space="0" w:color="auto"/>
                    <w:right w:val="none" w:sz="0" w:space="0" w:color="auto"/>
                  </w:divBdr>
                  <w:divsChild>
                    <w:div w:id="672488664">
                      <w:marLeft w:val="0"/>
                      <w:marRight w:val="0"/>
                      <w:marTop w:val="0"/>
                      <w:marBottom w:val="0"/>
                      <w:divBdr>
                        <w:top w:val="none" w:sz="0" w:space="0" w:color="auto"/>
                        <w:left w:val="none" w:sz="0" w:space="0" w:color="auto"/>
                        <w:bottom w:val="none" w:sz="0" w:space="0" w:color="auto"/>
                        <w:right w:val="none" w:sz="0" w:space="0" w:color="auto"/>
                      </w:divBdr>
                      <w:divsChild>
                        <w:div w:id="500898635">
                          <w:marLeft w:val="0"/>
                          <w:marRight w:val="0"/>
                          <w:marTop w:val="0"/>
                          <w:marBottom w:val="0"/>
                          <w:divBdr>
                            <w:top w:val="none" w:sz="0" w:space="0" w:color="auto"/>
                            <w:left w:val="none" w:sz="0" w:space="0" w:color="auto"/>
                            <w:bottom w:val="none" w:sz="0" w:space="0" w:color="auto"/>
                            <w:right w:val="none" w:sz="0" w:space="0" w:color="auto"/>
                          </w:divBdr>
                          <w:divsChild>
                            <w:div w:id="427048301">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 w:id="200098120">
          <w:marLeft w:val="0"/>
          <w:marRight w:val="0"/>
          <w:marTop w:val="0"/>
          <w:marBottom w:val="0"/>
          <w:divBdr>
            <w:top w:val="none" w:sz="0" w:space="0" w:color="auto"/>
            <w:left w:val="none" w:sz="0" w:space="0" w:color="auto"/>
            <w:bottom w:val="none" w:sz="0" w:space="0" w:color="auto"/>
            <w:right w:val="none" w:sz="0" w:space="0" w:color="auto"/>
          </w:divBdr>
          <w:divsChild>
            <w:div w:id="356465608">
              <w:marLeft w:val="0"/>
              <w:marRight w:val="0"/>
              <w:marTop w:val="0"/>
              <w:marBottom w:val="0"/>
              <w:divBdr>
                <w:top w:val="none" w:sz="0" w:space="0" w:color="auto"/>
                <w:left w:val="none" w:sz="0" w:space="0" w:color="auto"/>
                <w:bottom w:val="none" w:sz="0" w:space="0" w:color="auto"/>
                <w:right w:val="none" w:sz="0" w:space="0" w:color="auto"/>
              </w:divBdr>
              <w:divsChild>
                <w:div w:id="159550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64710">
      <w:bodyDiv w:val="1"/>
      <w:marLeft w:val="0"/>
      <w:marRight w:val="0"/>
      <w:marTop w:val="0"/>
      <w:marBottom w:val="0"/>
      <w:divBdr>
        <w:top w:val="none" w:sz="0" w:space="0" w:color="auto"/>
        <w:left w:val="none" w:sz="0" w:space="0" w:color="auto"/>
        <w:bottom w:val="none" w:sz="0" w:space="0" w:color="auto"/>
        <w:right w:val="none" w:sz="0" w:space="0" w:color="auto"/>
      </w:divBdr>
    </w:div>
    <w:div w:id="2095931516">
      <w:bodyDiv w:val="1"/>
      <w:marLeft w:val="0"/>
      <w:marRight w:val="0"/>
      <w:marTop w:val="0"/>
      <w:marBottom w:val="0"/>
      <w:divBdr>
        <w:top w:val="none" w:sz="0" w:space="0" w:color="auto"/>
        <w:left w:val="none" w:sz="0" w:space="0" w:color="auto"/>
        <w:bottom w:val="none" w:sz="0" w:space="0" w:color="auto"/>
        <w:right w:val="none" w:sz="0" w:space="0" w:color="auto"/>
      </w:divBdr>
    </w:div>
    <w:div w:id="214114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file:////Users/yuyue/Downloads/%5eSSE50.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ltLang="zh-CN" dirty="0">
                <a:solidFill>
                  <a:schemeClr val="tx1"/>
                </a:solidFill>
              </a:rPr>
              <a:t>I</a:t>
            </a:r>
            <a:r>
              <a:rPr lang="en-US" dirty="0">
                <a:solidFill>
                  <a:schemeClr val="tx1"/>
                </a:solidFill>
              </a:rPr>
              <a:t>VIX</a:t>
            </a:r>
            <a:r>
              <a:rPr lang="zh-CN" altLang="en-US" dirty="0">
                <a:solidFill>
                  <a:schemeClr val="tx1"/>
                </a:solidFill>
              </a:rPr>
              <a:t> </a:t>
            </a:r>
            <a:r>
              <a:rPr lang="en-US" altLang="zh-CN" dirty="0">
                <a:solidFill>
                  <a:schemeClr val="tx1"/>
                </a:solidFill>
              </a:rPr>
              <a:t>&amp;</a:t>
            </a:r>
            <a:r>
              <a:rPr lang="zh-CN" altLang="en-US" dirty="0">
                <a:solidFill>
                  <a:schemeClr val="tx1"/>
                </a:solidFill>
              </a:rPr>
              <a:t> </a:t>
            </a:r>
            <a:r>
              <a:rPr lang="en-US" altLang="zh-CN" dirty="0">
                <a:solidFill>
                  <a:schemeClr val="tx1"/>
                </a:solidFill>
              </a:rPr>
              <a:t>SSE</a:t>
            </a:r>
            <a:r>
              <a:rPr lang="zh-CN" altLang="en-US" baseline="0" dirty="0">
                <a:solidFill>
                  <a:schemeClr val="tx1"/>
                </a:solidFill>
              </a:rPr>
              <a:t> </a:t>
            </a:r>
            <a:r>
              <a:rPr lang="en-US" altLang="zh-CN" baseline="0" dirty="0">
                <a:solidFill>
                  <a:schemeClr val="tx1"/>
                </a:solidFill>
              </a:rPr>
              <a:t>50</a:t>
            </a:r>
            <a:r>
              <a:rPr lang="zh-CN" altLang="en-US" baseline="0" dirty="0">
                <a:solidFill>
                  <a:schemeClr val="tx1"/>
                </a:solidFill>
              </a:rPr>
              <a:t> </a:t>
            </a:r>
            <a:r>
              <a:rPr lang="en-US" altLang="zh-CN" baseline="0" dirty="0">
                <a:solidFill>
                  <a:schemeClr val="tx1"/>
                </a:solidFill>
              </a:rPr>
              <a:t>Index</a:t>
            </a:r>
            <a:r>
              <a:rPr lang="zh-CN" altLang="en-US" baseline="0" dirty="0">
                <a:solidFill>
                  <a:schemeClr val="tx1"/>
                </a:solidFill>
              </a:rPr>
              <a:t> </a:t>
            </a:r>
            <a:endParaRPr lang="en-US" dirty="0">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'^SSE50'!$B$1</c:f>
              <c:strCache>
                <c:ptCount val="1"/>
                <c:pt idx="0">
                  <c:v>SSE 50</c:v>
                </c:pt>
              </c:strCache>
            </c:strRef>
          </c:tx>
          <c:spPr>
            <a:ln w="28575" cap="rnd">
              <a:solidFill>
                <a:schemeClr val="accent1"/>
              </a:solidFill>
              <a:round/>
            </a:ln>
            <a:effectLst/>
          </c:spPr>
          <c:marker>
            <c:symbol val="none"/>
          </c:marker>
          <c:cat>
            <c:strRef>
              <c:f>'^SSE50'!$A:$A</c:f>
              <c:strCache>
                <c:ptCount val="317"/>
                <c:pt idx="0">
                  <c:v>Date</c:v>
                </c:pt>
                <c:pt idx="1">
                  <c:v>2018/7/2</c:v>
                </c:pt>
                <c:pt idx="2">
                  <c:v>2018/7/3</c:v>
                </c:pt>
                <c:pt idx="3">
                  <c:v>2018/7/4</c:v>
                </c:pt>
                <c:pt idx="4">
                  <c:v>2018/7/5</c:v>
                </c:pt>
                <c:pt idx="5">
                  <c:v>2018/7/6</c:v>
                </c:pt>
                <c:pt idx="6">
                  <c:v>2018/7/9</c:v>
                </c:pt>
                <c:pt idx="7">
                  <c:v>2018/7/10</c:v>
                </c:pt>
                <c:pt idx="8">
                  <c:v>2018/7/11</c:v>
                </c:pt>
                <c:pt idx="9">
                  <c:v>2018/7/12</c:v>
                </c:pt>
                <c:pt idx="10">
                  <c:v>2018/7/13</c:v>
                </c:pt>
                <c:pt idx="11">
                  <c:v>2018/7/16</c:v>
                </c:pt>
                <c:pt idx="12">
                  <c:v>2018/7/17</c:v>
                </c:pt>
                <c:pt idx="13">
                  <c:v>2018/7/18</c:v>
                </c:pt>
                <c:pt idx="14">
                  <c:v>2018/7/19</c:v>
                </c:pt>
                <c:pt idx="15">
                  <c:v>2018/7/20</c:v>
                </c:pt>
                <c:pt idx="16">
                  <c:v>2018/7/23</c:v>
                </c:pt>
                <c:pt idx="17">
                  <c:v>2018/7/24</c:v>
                </c:pt>
                <c:pt idx="18">
                  <c:v>2018/7/25</c:v>
                </c:pt>
                <c:pt idx="19">
                  <c:v>2018/7/26</c:v>
                </c:pt>
                <c:pt idx="20">
                  <c:v>2018/7/27</c:v>
                </c:pt>
                <c:pt idx="21">
                  <c:v>2018/7/30</c:v>
                </c:pt>
                <c:pt idx="22">
                  <c:v>2018/7/31</c:v>
                </c:pt>
                <c:pt idx="23">
                  <c:v>2018/8/1</c:v>
                </c:pt>
                <c:pt idx="24">
                  <c:v>2018/8/2</c:v>
                </c:pt>
                <c:pt idx="25">
                  <c:v>2018/8/3</c:v>
                </c:pt>
                <c:pt idx="26">
                  <c:v>2018/8/6</c:v>
                </c:pt>
                <c:pt idx="27">
                  <c:v>2018/8/7</c:v>
                </c:pt>
                <c:pt idx="28">
                  <c:v>2018/8/8</c:v>
                </c:pt>
                <c:pt idx="29">
                  <c:v>2018/8/9</c:v>
                </c:pt>
                <c:pt idx="30">
                  <c:v>2018/8/10</c:v>
                </c:pt>
                <c:pt idx="31">
                  <c:v>2018/8/13</c:v>
                </c:pt>
                <c:pt idx="32">
                  <c:v>2018/8/14</c:v>
                </c:pt>
                <c:pt idx="33">
                  <c:v>2018/8/15</c:v>
                </c:pt>
                <c:pt idx="34">
                  <c:v>2018/8/16</c:v>
                </c:pt>
                <c:pt idx="35">
                  <c:v>2018/8/17</c:v>
                </c:pt>
                <c:pt idx="36">
                  <c:v>2018/8/20</c:v>
                </c:pt>
                <c:pt idx="37">
                  <c:v>2018/8/21</c:v>
                </c:pt>
                <c:pt idx="38">
                  <c:v>2018/8/22</c:v>
                </c:pt>
                <c:pt idx="39">
                  <c:v>2018/8/23</c:v>
                </c:pt>
                <c:pt idx="40">
                  <c:v>2018/8/24</c:v>
                </c:pt>
                <c:pt idx="41">
                  <c:v>2018/8/27</c:v>
                </c:pt>
                <c:pt idx="42">
                  <c:v>2018/8/28</c:v>
                </c:pt>
                <c:pt idx="43">
                  <c:v>2018/8/29</c:v>
                </c:pt>
                <c:pt idx="44">
                  <c:v>2018/8/30</c:v>
                </c:pt>
                <c:pt idx="45">
                  <c:v>2018/8/31</c:v>
                </c:pt>
                <c:pt idx="46">
                  <c:v>2018/9/3</c:v>
                </c:pt>
                <c:pt idx="47">
                  <c:v>2018/9/4</c:v>
                </c:pt>
                <c:pt idx="48">
                  <c:v>2018/9/5</c:v>
                </c:pt>
                <c:pt idx="49">
                  <c:v>2018/9/6</c:v>
                </c:pt>
                <c:pt idx="50">
                  <c:v>2018/9/7</c:v>
                </c:pt>
                <c:pt idx="51">
                  <c:v>2018/9/10</c:v>
                </c:pt>
                <c:pt idx="52">
                  <c:v>2018/9/11</c:v>
                </c:pt>
                <c:pt idx="53">
                  <c:v>2018/9/12</c:v>
                </c:pt>
                <c:pt idx="54">
                  <c:v>2018/9/13</c:v>
                </c:pt>
                <c:pt idx="55">
                  <c:v>2018/9/14</c:v>
                </c:pt>
                <c:pt idx="56">
                  <c:v>2018/9/17</c:v>
                </c:pt>
                <c:pt idx="57">
                  <c:v>2018/9/18</c:v>
                </c:pt>
                <c:pt idx="58">
                  <c:v>2018/9/19</c:v>
                </c:pt>
                <c:pt idx="59">
                  <c:v>2018/9/20</c:v>
                </c:pt>
                <c:pt idx="60">
                  <c:v>2018/9/21</c:v>
                </c:pt>
                <c:pt idx="61">
                  <c:v>2018/9/25</c:v>
                </c:pt>
                <c:pt idx="62">
                  <c:v>2018/9/26</c:v>
                </c:pt>
                <c:pt idx="63">
                  <c:v>2018/9/27</c:v>
                </c:pt>
                <c:pt idx="64">
                  <c:v>2018/9/28</c:v>
                </c:pt>
                <c:pt idx="65">
                  <c:v>2018/10/8</c:v>
                </c:pt>
                <c:pt idx="66">
                  <c:v>2018/10/9</c:v>
                </c:pt>
                <c:pt idx="67">
                  <c:v>2018/10/10</c:v>
                </c:pt>
                <c:pt idx="68">
                  <c:v>2018/10/11</c:v>
                </c:pt>
                <c:pt idx="69">
                  <c:v>2018/10/12</c:v>
                </c:pt>
                <c:pt idx="70">
                  <c:v>2018/10/15</c:v>
                </c:pt>
                <c:pt idx="71">
                  <c:v>2018/10/16</c:v>
                </c:pt>
                <c:pt idx="72">
                  <c:v>2018/10/17</c:v>
                </c:pt>
                <c:pt idx="73">
                  <c:v>2018/10/18</c:v>
                </c:pt>
                <c:pt idx="74">
                  <c:v>2018/10/19</c:v>
                </c:pt>
                <c:pt idx="75">
                  <c:v>2018/10/22</c:v>
                </c:pt>
                <c:pt idx="76">
                  <c:v>2018/10/23</c:v>
                </c:pt>
                <c:pt idx="77">
                  <c:v>2018/10/24</c:v>
                </c:pt>
                <c:pt idx="78">
                  <c:v>2018/10/25</c:v>
                </c:pt>
                <c:pt idx="79">
                  <c:v>2018/10/26</c:v>
                </c:pt>
                <c:pt idx="80">
                  <c:v>2018/10/29</c:v>
                </c:pt>
                <c:pt idx="81">
                  <c:v>2018/10/30</c:v>
                </c:pt>
                <c:pt idx="82">
                  <c:v>2018/10/31</c:v>
                </c:pt>
                <c:pt idx="83">
                  <c:v>2018/11/1</c:v>
                </c:pt>
                <c:pt idx="84">
                  <c:v>2018/11/2</c:v>
                </c:pt>
                <c:pt idx="85">
                  <c:v>2018/11/5</c:v>
                </c:pt>
                <c:pt idx="86">
                  <c:v>2018/11/6</c:v>
                </c:pt>
                <c:pt idx="87">
                  <c:v>2018/11/7</c:v>
                </c:pt>
                <c:pt idx="88">
                  <c:v>2018/11/8</c:v>
                </c:pt>
                <c:pt idx="89">
                  <c:v>2018/11/9</c:v>
                </c:pt>
                <c:pt idx="90">
                  <c:v>2018/11/12</c:v>
                </c:pt>
                <c:pt idx="91">
                  <c:v>2018/11/13</c:v>
                </c:pt>
                <c:pt idx="92">
                  <c:v>2018/11/14</c:v>
                </c:pt>
                <c:pt idx="93">
                  <c:v>2018/11/15</c:v>
                </c:pt>
                <c:pt idx="94">
                  <c:v>2018/11/16</c:v>
                </c:pt>
                <c:pt idx="95">
                  <c:v>2018/11/19</c:v>
                </c:pt>
                <c:pt idx="96">
                  <c:v>2018/11/20</c:v>
                </c:pt>
                <c:pt idx="97">
                  <c:v>2018/11/21</c:v>
                </c:pt>
                <c:pt idx="98">
                  <c:v>2018/11/22</c:v>
                </c:pt>
                <c:pt idx="99">
                  <c:v>2018/11/23</c:v>
                </c:pt>
                <c:pt idx="100">
                  <c:v>2018/11/26</c:v>
                </c:pt>
                <c:pt idx="101">
                  <c:v>2018/11/27</c:v>
                </c:pt>
                <c:pt idx="102">
                  <c:v>2018/11/28</c:v>
                </c:pt>
                <c:pt idx="103">
                  <c:v>2018/11/29</c:v>
                </c:pt>
                <c:pt idx="104">
                  <c:v>2018/11/30</c:v>
                </c:pt>
                <c:pt idx="105">
                  <c:v>2018/12/3</c:v>
                </c:pt>
                <c:pt idx="106">
                  <c:v>2018/12/4</c:v>
                </c:pt>
                <c:pt idx="107">
                  <c:v>2018/12/5</c:v>
                </c:pt>
                <c:pt idx="108">
                  <c:v>2018/12/6</c:v>
                </c:pt>
                <c:pt idx="109">
                  <c:v>2018/12/7</c:v>
                </c:pt>
                <c:pt idx="110">
                  <c:v>2018/12/10</c:v>
                </c:pt>
                <c:pt idx="111">
                  <c:v>2018/12/11</c:v>
                </c:pt>
                <c:pt idx="112">
                  <c:v>2018/12/12</c:v>
                </c:pt>
                <c:pt idx="113">
                  <c:v>2018/12/13</c:v>
                </c:pt>
                <c:pt idx="114">
                  <c:v>2018/12/14</c:v>
                </c:pt>
                <c:pt idx="115">
                  <c:v>2018/12/17</c:v>
                </c:pt>
                <c:pt idx="116">
                  <c:v>2018/12/18</c:v>
                </c:pt>
                <c:pt idx="117">
                  <c:v>2018/12/19</c:v>
                </c:pt>
                <c:pt idx="118">
                  <c:v>2018/12/20</c:v>
                </c:pt>
                <c:pt idx="119">
                  <c:v>2018/12/21</c:v>
                </c:pt>
                <c:pt idx="120">
                  <c:v>2018/12/24</c:v>
                </c:pt>
                <c:pt idx="121">
                  <c:v>2018/12/25</c:v>
                </c:pt>
                <c:pt idx="122">
                  <c:v>2018/12/26</c:v>
                </c:pt>
                <c:pt idx="123">
                  <c:v>2018/12/27</c:v>
                </c:pt>
                <c:pt idx="124">
                  <c:v>2018/12/28</c:v>
                </c:pt>
                <c:pt idx="125">
                  <c:v>2019/1/2</c:v>
                </c:pt>
                <c:pt idx="126">
                  <c:v>2019/1/3</c:v>
                </c:pt>
                <c:pt idx="127">
                  <c:v>2019/1/4</c:v>
                </c:pt>
                <c:pt idx="128">
                  <c:v>2019/1/7</c:v>
                </c:pt>
                <c:pt idx="129">
                  <c:v>2019/1/8</c:v>
                </c:pt>
                <c:pt idx="130">
                  <c:v>2019/1/9</c:v>
                </c:pt>
                <c:pt idx="131">
                  <c:v>2019/1/10</c:v>
                </c:pt>
                <c:pt idx="132">
                  <c:v>2019/1/11</c:v>
                </c:pt>
                <c:pt idx="133">
                  <c:v>2019/1/14</c:v>
                </c:pt>
                <c:pt idx="134">
                  <c:v>2019/1/15</c:v>
                </c:pt>
                <c:pt idx="135">
                  <c:v>2019/1/16</c:v>
                </c:pt>
                <c:pt idx="136">
                  <c:v>2019/1/17</c:v>
                </c:pt>
                <c:pt idx="137">
                  <c:v>2019/1/18</c:v>
                </c:pt>
                <c:pt idx="138">
                  <c:v>2019/1/21</c:v>
                </c:pt>
                <c:pt idx="139">
                  <c:v>2019/1/22</c:v>
                </c:pt>
                <c:pt idx="140">
                  <c:v>2019/1/23</c:v>
                </c:pt>
                <c:pt idx="141">
                  <c:v>2019/1/24</c:v>
                </c:pt>
                <c:pt idx="142">
                  <c:v>2019/1/25</c:v>
                </c:pt>
                <c:pt idx="143">
                  <c:v>2019/1/28</c:v>
                </c:pt>
                <c:pt idx="144">
                  <c:v>2019/1/29</c:v>
                </c:pt>
                <c:pt idx="145">
                  <c:v>2019/1/30</c:v>
                </c:pt>
                <c:pt idx="146">
                  <c:v>2019/1/31</c:v>
                </c:pt>
                <c:pt idx="147">
                  <c:v>2019/2/1</c:v>
                </c:pt>
                <c:pt idx="148">
                  <c:v>2019/2/11</c:v>
                </c:pt>
                <c:pt idx="149">
                  <c:v>2019/2/12</c:v>
                </c:pt>
                <c:pt idx="150">
                  <c:v>2019/2/13</c:v>
                </c:pt>
                <c:pt idx="151">
                  <c:v>2019/2/14</c:v>
                </c:pt>
                <c:pt idx="152">
                  <c:v>2019/2/15</c:v>
                </c:pt>
                <c:pt idx="153">
                  <c:v>2019/2/18</c:v>
                </c:pt>
                <c:pt idx="154">
                  <c:v>2019/2/19</c:v>
                </c:pt>
                <c:pt idx="155">
                  <c:v>2019/2/20</c:v>
                </c:pt>
                <c:pt idx="156">
                  <c:v>2019/2/21</c:v>
                </c:pt>
                <c:pt idx="157">
                  <c:v>2019/2/22</c:v>
                </c:pt>
                <c:pt idx="158">
                  <c:v>2019/2/25</c:v>
                </c:pt>
                <c:pt idx="159">
                  <c:v>2019/2/26</c:v>
                </c:pt>
                <c:pt idx="160">
                  <c:v>2019/2/27</c:v>
                </c:pt>
                <c:pt idx="161">
                  <c:v>2019/2/28</c:v>
                </c:pt>
                <c:pt idx="162">
                  <c:v>2019/3/1</c:v>
                </c:pt>
                <c:pt idx="163">
                  <c:v>2019/3/4</c:v>
                </c:pt>
                <c:pt idx="164">
                  <c:v>2019/3/5</c:v>
                </c:pt>
                <c:pt idx="165">
                  <c:v>2019/3/6</c:v>
                </c:pt>
                <c:pt idx="166">
                  <c:v>2019/3/7</c:v>
                </c:pt>
                <c:pt idx="167">
                  <c:v>2019/3/8</c:v>
                </c:pt>
                <c:pt idx="168">
                  <c:v>2019/3/11</c:v>
                </c:pt>
                <c:pt idx="169">
                  <c:v>2019/3/12</c:v>
                </c:pt>
                <c:pt idx="170">
                  <c:v>2019/3/13</c:v>
                </c:pt>
                <c:pt idx="171">
                  <c:v>2019/3/14</c:v>
                </c:pt>
                <c:pt idx="172">
                  <c:v>2019/3/15</c:v>
                </c:pt>
                <c:pt idx="173">
                  <c:v>2019/3/18</c:v>
                </c:pt>
                <c:pt idx="174">
                  <c:v>2019/3/19</c:v>
                </c:pt>
                <c:pt idx="175">
                  <c:v>2019/3/20</c:v>
                </c:pt>
                <c:pt idx="176">
                  <c:v>2019/3/21</c:v>
                </c:pt>
                <c:pt idx="177">
                  <c:v>2019/3/22</c:v>
                </c:pt>
                <c:pt idx="178">
                  <c:v>2019/3/25</c:v>
                </c:pt>
                <c:pt idx="179">
                  <c:v>2019/3/26</c:v>
                </c:pt>
                <c:pt idx="180">
                  <c:v>2019/3/27</c:v>
                </c:pt>
                <c:pt idx="181">
                  <c:v>2019/3/28</c:v>
                </c:pt>
                <c:pt idx="182">
                  <c:v>2019/3/29</c:v>
                </c:pt>
                <c:pt idx="183">
                  <c:v>2019/4/1</c:v>
                </c:pt>
                <c:pt idx="184">
                  <c:v>2019/4/2</c:v>
                </c:pt>
                <c:pt idx="185">
                  <c:v>2019/4/3</c:v>
                </c:pt>
                <c:pt idx="186">
                  <c:v>2019/4/4</c:v>
                </c:pt>
                <c:pt idx="187">
                  <c:v>2019/4/8</c:v>
                </c:pt>
                <c:pt idx="188">
                  <c:v>2019/4/9</c:v>
                </c:pt>
                <c:pt idx="189">
                  <c:v>2019/4/10</c:v>
                </c:pt>
                <c:pt idx="190">
                  <c:v>2019/4/11</c:v>
                </c:pt>
                <c:pt idx="191">
                  <c:v>2019/4/12</c:v>
                </c:pt>
                <c:pt idx="192">
                  <c:v>2019/4/15</c:v>
                </c:pt>
                <c:pt idx="193">
                  <c:v>2019/4/16</c:v>
                </c:pt>
                <c:pt idx="194">
                  <c:v>2019/4/17</c:v>
                </c:pt>
                <c:pt idx="195">
                  <c:v>2019/4/18</c:v>
                </c:pt>
                <c:pt idx="196">
                  <c:v>2019/4/19</c:v>
                </c:pt>
                <c:pt idx="197">
                  <c:v>2019/4/22</c:v>
                </c:pt>
                <c:pt idx="198">
                  <c:v>2019/4/23</c:v>
                </c:pt>
                <c:pt idx="199">
                  <c:v>2019/4/24</c:v>
                </c:pt>
                <c:pt idx="200">
                  <c:v>2019/4/25</c:v>
                </c:pt>
                <c:pt idx="201">
                  <c:v>2019/4/26</c:v>
                </c:pt>
                <c:pt idx="202">
                  <c:v>2019/5/6</c:v>
                </c:pt>
                <c:pt idx="203">
                  <c:v>2019/5/7</c:v>
                </c:pt>
                <c:pt idx="204">
                  <c:v>2019/5/8</c:v>
                </c:pt>
                <c:pt idx="205">
                  <c:v>2019/5/9</c:v>
                </c:pt>
                <c:pt idx="206">
                  <c:v>2019/5/10</c:v>
                </c:pt>
                <c:pt idx="207">
                  <c:v>2019/5/13</c:v>
                </c:pt>
                <c:pt idx="208">
                  <c:v>2019/5/14</c:v>
                </c:pt>
                <c:pt idx="209">
                  <c:v>2019/5/15</c:v>
                </c:pt>
                <c:pt idx="210">
                  <c:v>2019/5/16</c:v>
                </c:pt>
                <c:pt idx="211">
                  <c:v>2019/5/17</c:v>
                </c:pt>
                <c:pt idx="212">
                  <c:v>2019/5/20</c:v>
                </c:pt>
                <c:pt idx="213">
                  <c:v>2019/5/21</c:v>
                </c:pt>
                <c:pt idx="214">
                  <c:v>2019/5/22</c:v>
                </c:pt>
                <c:pt idx="215">
                  <c:v>2019/5/23</c:v>
                </c:pt>
                <c:pt idx="216">
                  <c:v>2019/5/24</c:v>
                </c:pt>
                <c:pt idx="217">
                  <c:v>2019/5/27</c:v>
                </c:pt>
                <c:pt idx="218">
                  <c:v>2019/5/28</c:v>
                </c:pt>
                <c:pt idx="219">
                  <c:v>2019/5/29</c:v>
                </c:pt>
                <c:pt idx="220">
                  <c:v>2019/5/30</c:v>
                </c:pt>
                <c:pt idx="221">
                  <c:v>2019/5/31</c:v>
                </c:pt>
                <c:pt idx="222">
                  <c:v>2019/6/3</c:v>
                </c:pt>
                <c:pt idx="223">
                  <c:v>2019/6/4</c:v>
                </c:pt>
                <c:pt idx="224">
                  <c:v>2019/6/5</c:v>
                </c:pt>
                <c:pt idx="225">
                  <c:v>2019/6/6</c:v>
                </c:pt>
                <c:pt idx="226">
                  <c:v>2019/6/10</c:v>
                </c:pt>
                <c:pt idx="227">
                  <c:v>2019/6/11</c:v>
                </c:pt>
                <c:pt idx="228">
                  <c:v>2019/6/12</c:v>
                </c:pt>
                <c:pt idx="229">
                  <c:v>2019/6/13</c:v>
                </c:pt>
                <c:pt idx="230">
                  <c:v>2019/6/14</c:v>
                </c:pt>
                <c:pt idx="231">
                  <c:v>2019/6/17</c:v>
                </c:pt>
                <c:pt idx="232">
                  <c:v>2019/6/18</c:v>
                </c:pt>
                <c:pt idx="233">
                  <c:v>2019/6/19</c:v>
                </c:pt>
                <c:pt idx="234">
                  <c:v>2019/6/20</c:v>
                </c:pt>
                <c:pt idx="235">
                  <c:v>2019/6/21</c:v>
                </c:pt>
                <c:pt idx="236">
                  <c:v>2019/6/24</c:v>
                </c:pt>
                <c:pt idx="237">
                  <c:v>2019/6/25</c:v>
                </c:pt>
                <c:pt idx="238">
                  <c:v>2019/6/26</c:v>
                </c:pt>
                <c:pt idx="239">
                  <c:v>2019/6/27</c:v>
                </c:pt>
                <c:pt idx="240">
                  <c:v>2019/6/28</c:v>
                </c:pt>
                <c:pt idx="241">
                  <c:v>2019/7/1</c:v>
                </c:pt>
                <c:pt idx="242">
                  <c:v>2019/7/2</c:v>
                </c:pt>
                <c:pt idx="243">
                  <c:v>2019/7/3</c:v>
                </c:pt>
                <c:pt idx="244">
                  <c:v>2019/7/4</c:v>
                </c:pt>
                <c:pt idx="245">
                  <c:v>2019/7/5</c:v>
                </c:pt>
                <c:pt idx="246">
                  <c:v>2019/7/8</c:v>
                </c:pt>
                <c:pt idx="247">
                  <c:v>2019/7/9</c:v>
                </c:pt>
                <c:pt idx="248">
                  <c:v>2019/7/10</c:v>
                </c:pt>
                <c:pt idx="249">
                  <c:v>2019/7/11</c:v>
                </c:pt>
                <c:pt idx="250">
                  <c:v>2019/7/12</c:v>
                </c:pt>
                <c:pt idx="251">
                  <c:v>2019/7/15</c:v>
                </c:pt>
                <c:pt idx="252">
                  <c:v>2019/7/16</c:v>
                </c:pt>
                <c:pt idx="253">
                  <c:v>2019/7/17</c:v>
                </c:pt>
                <c:pt idx="254">
                  <c:v>2019/7/18</c:v>
                </c:pt>
                <c:pt idx="255">
                  <c:v>2019/7/19</c:v>
                </c:pt>
                <c:pt idx="256">
                  <c:v>2019/7/22</c:v>
                </c:pt>
                <c:pt idx="257">
                  <c:v>2019/7/23</c:v>
                </c:pt>
                <c:pt idx="258">
                  <c:v>2019/7/24</c:v>
                </c:pt>
                <c:pt idx="259">
                  <c:v>2019/7/25</c:v>
                </c:pt>
                <c:pt idx="260">
                  <c:v>2019/7/26</c:v>
                </c:pt>
                <c:pt idx="261">
                  <c:v>2019/7/29</c:v>
                </c:pt>
                <c:pt idx="262">
                  <c:v>2019/7/30</c:v>
                </c:pt>
                <c:pt idx="263">
                  <c:v>2019/7/31</c:v>
                </c:pt>
                <c:pt idx="264">
                  <c:v>2019/8/1</c:v>
                </c:pt>
                <c:pt idx="265">
                  <c:v>2019/8/2</c:v>
                </c:pt>
                <c:pt idx="266">
                  <c:v>2019/8/5</c:v>
                </c:pt>
                <c:pt idx="267">
                  <c:v>2019/8/6</c:v>
                </c:pt>
                <c:pt idx="268">
                  <c:v>2019/8/7</c:v>
                </c:pt>
                <c:pt idx="269">
                  <c:v>2019/8/8</c:v>
                </c:pt>
                <c:pt idx="270">
                  <c:v>2019/8/9</c:v>
                </c:pt>
                <c:pt idx="271">
                  <c:v>2019/8/12</c:v>
                </c:pt>
                <c:pt idx="272">
                  <c:v>2019/8/13</c:v>
                </c:pt>
                <c:pt idx="273">
                  <c:v>2019/8/14</c:v>
                </c:pt>
                <c:pt idx="274">
                  <c:v>2019/8/15</c:v>
                </c:pt>
                <c:pt idx="275">
                  <c:v>2019/8/16</c:v>
                </c:pt>
                <c:pt idx="276">
                  <c:v>2019/8/19</c:v>
                </c:pt>
                <c:pt idx="277">
                  <c:v>2019/8/20</c:v>
                </c:pt>
                <c:pt idx="278">
                  <c:v>2019/8/21</c:v>
                </c:pt>
                <c:pt idx="279">
                  <c:v>2019/8/22</c:v>
                </c:pt>
                <c:pt idx="280">
                  <c:v>2019/8/23</c:v>
                </c:pt>
                <c:pt idx="281">
                  <c:v>2019/8/26</c:v>
                </c:pt>
                <c:pt idx="282">
                  <c:v>2019/8/27</c:v>
                </c:pt>
                <c:pt idx="283">
                  <c:v>2019/8/28</c:v>
                </c:pt>
                <c:pt idx="284">
                  <c:v>2019/8/29</c:v>
                </c:pt>
                <c:pt idx="285">
                  <c:v>2019/8/30</c:v>
                </c:pt>
                <c:pt idx="286">
                  <c:v>2019/9/2</c:v>
                </c:pt>
                <c:pt idx="287">
                  <c:v>2019/9/3</c:v>
                </c:pt>
                <c:pt idx="288">
                  <c:v>2019/9/4</c:v>
                </c:pt>
                <c:pt idx="289">
                  <c:v>2019/9/5</c:v>
                </c:pt>
                <c:pt idx="290">
                  <c:v>2019/9/6</c:v>
                </c:pt>
                <c:pt idx="291">
                  <c:v>2019/9/9</c:v>
                </c:pt>
                <c:pt idx="292">
                  <c:v>2019/9/10</c:v>
                </c:pt>
                <c:pt idx="293">
                  <c:v>2019/9/11</c:v>
                </c:pt>
                <c:pt idx="294">
                  <c:v>2019/9/12</c:v>
                </c:pt>
                <c:pt idx="295">
                  <c:v>2019/9/16</c:v>
                </c:pt>
                <c:pt idx="296">
                  <c:v>2019/9/17</c:v>
                </c:pt>
                <c:pt idx="297">
                  <c:v>2019/9/18</c:v>
                </c:pt>
                <c:pt idx="298">
                  <c:v>2019/9/19</c:v>
                </c:pt>
                <c:pt idx="299">
                  <c:v>2019/9/20</c:v>
                </c:pt>
                <c:pt idx="300">
                  <c:v>2019/9/23</c:v>
                </c:pt>
                <c:pt idx="301">
                  <c:v>2019/9/24</c:v>
                </c:pt>
                <c:pt idx="302">
                  <c:v>2019/9/25</c:v>
                </c:pt>
                <c:pt idx="303">
                  <c:v>2019/9/26</c:v>
                </c:pt>
                <c:pt idx="304">
                  <c:v>2019/9/27</c:v>
                </c:pt>
                <c:pt idx="305">
                  <c:v>2019/9/30</c:v>
                </c:pt>
                <c:pt idx="306">
                  <c:v>2019/10/8</c:v>
                </c:pt>
                <c:pt idx="307">
                  <c:v>2019/10/9</c:v>
                </c:pt>
                <c:pt idx="308">
                  <c:v>2019/10/10</c:v>
                </c:pt>
                <c:pt idx="309">
                  <c:v>2019/10/11</c:v>
                </c:pt>
                <c:pt idx="310">
                  <c:v>2019/10/14</c:v>
                </c:pt>
                <c:pt idx="311">
                  <c:v>2019/10/15</c:v>
                </c:pt>
                <c:pt idx="312">
                  <c:v>2019/10/16</c:v>
                </c:pt>
                <c:pt idx="313">
                  <c:v>2019/10/17</c:v>
                </c:pt>
                <c:pt idx="314">
                  <c:v>2019/10/18</c:v>
                </c:pt>
                <c:pt idx="315">
                  <c:v>2019/10/21</c:v>
                </c:pt>
                <c:pt idx="316">
                  <c:v>2019/10/22</c:v>
                </c:pt>
              </c:strCache>
            </c:strRef>
          </c:cat>
          <c:val>
            <c:numRef>
              <c:f>'^SSE50'!$B$2:$B$325</c:f>
              <c:numCache>
                <c:formatCode>General</c:formatCode>
                <c:ptCount val="324"/>
                <c:pt idx="0">
                  <c:v>2386.3798830000001</c:v>
                </c:pt>
                <c:pt idx="1">
                  <c:v>2388.9799800000001</c:v>
                </c:pt>
                <c:pt idx="2">
                  <c:v>2368.429932</c:v>
                </c:pt>
                <c:pt idx="3">
                  <c:v>2374.360107</c:v>
                </c:pt>
                <c:pt idx="4">
                  <c:v>2402.6201169999999</c:v>
                </c:pt>
                <c:pt idx="5">
                  <c:v>2471.290039</c:v>
                </c:pt>
                <c:pt idx="6">
                  <c:v>2471.2299800000001</c:v>
                </c:pt>
                <c:pt idx="7">
                  <c:v>2432.280029</c:v>
                </c:pt>
                <c:pt idx="8">
                  <c:v>2474.6201169999999</c:v>
                </c:pt>
                <c:pt idx="9">
                  <c:v>2476.860107</c:v>
                </c:pt>
                <c:pt idx="10">
                  <c:v>2448.7700199999999</c:v>
                </c:pt>
                <c:pt idx="11">
                  <c:v>2430.4399410000001</c:v>
                </c:pt>
                <c:pt idx="12">
                  <c:v>2420.76001</c:v>
                </c:pt>
                <c:pt idx="13">
                  <c:v>2426.1599120000001</c:v>
                </c:pt>
                <c:pt idx="14">
                  <c:v>2493.7700199999999</c:v>
                </c:pt>
                <c:pt idx="15">
                  <c:v>2526.8100589999999</c:v>
                </c:pt>
                <c:pt idx="16">
                  <c:v>2563.580078</c:v>
                </c:pt>
                <c:pt idx="17">
                  <c:v>2563.6899410000001</c:v>
                </c:pt>
                <c:pt idx="18">
                  <c:v>2530.98999</c:v>
                </c:pt>
                <c:pt idx="19">
                  <c:v>2525.0900879999999</c:v>
                </c:pt>
                <c:pt idx="20">
                  <c:v>2541.3100589999999</c:v>
                </c:pt>
                <c:pt idx="21">
                  <c:v>2545.1201169999999</c:v>
                </c:pt>
                <c:pt idx="22">
                  <c:v>2490.25</c:v>
                </c:pt>
                <c:pt idx="23">
                  <c:v>2440.3100589999999</c:v>
                </c:pt>
                <c:pt idx="24">
                  <c:v>2413.5</c:v>
                </c:pt>
                <c:pt idx="25">
                  <c:v>2406.540039</c:v>
                </c:pt>
                <c:pt idx="26">
                  <c:v>2479.780029</c:v>
                </c:pt>
                <c:pt idx="27">
                  <c:v>2447</c:v>
                </c:pt>
                <c:pt idx="28">
                  <c:v>2504.6201169999999</c:v>
                </c:pt>
                <c:pt idx="29">
                  <c:v>2503.209961</c:v>
                </c:pt>
                <c:pt idx="30">
                  <c:v>2478.51001</c:v>
                </c:pt>
                <c:pt idx="31">
                  <c:v>2469.1999510000001</c:v>
                </c:pt>
                <c:pt idx="32">
                  <c:v>2408.719971</c:v>
                </c:pt>
                <c:pt idx="33">
                  <c:v>2405.1599120000001</c:v>
                </c:pt>
                <c:pt idx="34">
                  <c:v>2374.169922</c:v>
                </c:pt>
                <c:pt idx="35">
                  <c:v>2409.1298830000001</c:v>
                </c:pt>
                <c:pt idx="36">
                  <c:v>2452.3798830000001</c:v>
                </c:pt>
                <c:pt idx="37">
                  <c:v>2450.1499020000001</c:v>
                </c:pt>
                <c:pt idx="38">
                  <c:v>2461.070068</c:v>
                </c:pt>
                <c:pt idx="39">
                  <c:v>2472</c:v>
                </c:pt>
                <c:pt idx="40">
                  <c:v>2522.3400879999999</c:v>
                </c:pt>
                <c:pt idx="41">
                  <c:v>2511.1499020000001</c:v>
                </c:pt>
                <c:pt idx="42">
                  <c:v>2503.4799800000001</c:v>
                </c:pt>
                <c:pt idx="43">
                  <c:v>2479.209961</c:v>
                </c:pt>
                <c:pt idx="44">
                  <c:v>2474.4799800000001</c:v>
                </c:pt>
                <c:pt idx="45">
                  <c:v>2465.8798830000001</c:v>
                </c:pt>
                <c:pt idx="46">
                  <c:v>2500.4399410000001</c:v>
                </c:pt>
                <c:pt idx="47">
                  <c:v>2441.2299800000001</c:v>
                </c:pt>
                <c:pt idx="48">
                  <c:v>2416.030029</c:v>
                </c:pt>
                <c:pt idx="49">
                  <c:v>2437.679932</c:v>
                </c:pt>
                <c:pt idx="50">
                  <c:v>2413.429932</c:v>
                </c:pt>
                <c:pt idx="51">
                  <c:v>2398.7700199999999</c:v>
                </c:pt>
                <c:pt idx="52">
                  <c:v>2381.389893</c:v>
                </c:pt>
                <c:pt idx="53">
                  <c:v>2415.3100589999999</c:v>
                </c:pt>
                <c:pt idx="54">
                  <c:v>2425.419922</c:v>
                </c:pt>
                <c:pt idx="55">
                  <c:v>2399.8798830000001</c:v>
                </c:pt>
                <c:pt idx="56">
                  <c:v>2458.7700199999999</c:v>
                </c:pt>
                <c:pt idx="57">
                  <c:v>2487.080078</c:v>
                </c:pt>
                <c:pt idx="58">
                  <c:v>2487.419922</c:v>
                </c:pt>
                <c:pt idx="59">
                  <c:v>2573.6000979999999</c:v>
                </c:pt>
                <c:pt idx="60">
                  <c:v>2547.790039</c:v>
                </c:pt>
                <c:pt idx="61">
                  <c:v>2582.7700199999999</c:v>
                </c:pt>
                <c:pt idx="62">
                  <c:v>2575.4499510000001</c:v>
                </c:pt>
                <c:pt idx="63">
                  <c:v>2606.669922</c:v>
                </c:pt>
                <c:pt idx="64">
                  <c:v>2486.820068</c:v>
                </c:pt>
                <c:pt idx="65">
                  <c:v>2491.6599120000001</c:v>
                </c:pt>
                <c:pt idx="66">
                  <c:v>2494.0600589999999</c:v>
                </c:pt>
                <c:pt idx="67">
                  <c:v>2390.5</c:v>
                </c:pt>
                <c:pt idx="68">
                  <c:v>2444.1298830000001</c:v>
                </c:pt>
                <c:pt idx="69">
                  <c:v>2412.4799800000001</c:v>
                </c:pt>
                <c:pt idx="70">
                  <c:v>2415.48999</c:v>
                </c:pt>
                <c:pt idx="71">
                  <c:v>2429.209961</c:v>
                </c:pt>
                <c:pt idx="72">
                  <c:v>2369.070068</c:v>
                </c:pt>
                <c:pt idx="73">
                  <c:v>2446.320068</c:v>
                </c:pt>
                <c:pt idx="74">
                  <c:v>2540.1499020000001</c:v>
                </c:pt>
                <c:pt idx="75">
                  <c:v>2464.8100589999999</c:v>
                </c:pt>
                <c:pt idx="76">
                  <c:v>2477.48999</c:v>
                </c:pt>
                <c:pt idx="77">
                  <c:v>2485.1000979999999</c:v>
                </c:pt>
                <c:pt idx="78">
                  <c:v>2468.9099120000001</c:v>
                </c:pt>
                <c:pt idx="79">
                  <c:v>2389.580078</c:v>
                </c:pt>
                <c:pt idx="80">
                  <c:v>2415.6499020000001</c:v>
                </c:pt>
                <c:pt idx="81">
                  <c:v>2451.1201169999999</c:v>
                </c:pt>
                <c:pt idx="82">
                  <c:v>2460.1599120000001</c:v>
                </c:pt>
                <c:pt idx="83">
                  <c:v>2542.7700199999999</c:v>
                </c:pt>
                <c:pt idx="84">
                  <c:v>2511.5900879999999</c:v>
                </c:pt>
                <c:pt idx="85">
                  <c:v>2499.679932</c:v>
                </c:pt>
                <c:pt idx="86">
                  <c:v>2482.330078</c:v>
                </c:pt>
                <c:pt idx="87">
                  <c:v>2486</c:v>
                </c:pt>
                <c:pt idx="88">
                  <c:v>2434.209961</c:v>
                </c:pt>
                <c:pt idx="89">
                  <c:v>2444.969971</c:v>
                </c:pt>
                <c:pt idx="90">
                  <c:v>2462.969971</c:v>
                </c:pt>
                <c:pt idx="91">
                  <c:v>2429.98999</c:v>
                </c:pt>
                <c:pt idx="92">
                  <c:v>2459.139893</c:v>
                </c:pt>
                <c:pt idx="93">
                  <c:v>2461.4399410000001</c:v>
                </c:pt>
                <c:pt idx="94">
                  <c:v>2492.080078</c:v>
                </c:pt>
                <c:pt idx="95">
                  <c:v>2446.790039</c:v>
                </c:pt>
                <c:pt idx="96">
                  <c:v>2451.2700199999999</c:v>
                </c:pt>
                <c:pt idx="97">
                  <c:v>2437.639893</c:v>
                </c:pt>
                <c:pt idx="98">
                  <c:v>2399.1999510000001</c:v>
                </c:pt>
                <c:pt idx="99">
                  <c:v>2401.8999020000001</c:v>
                </c:pt>
                <c:pt idx="100">
                  <c:v>2394.290039</c:v>
                </c:pt>
                <c:pt idx="101">
                  <c:v>2421.1298830000001</c:v>
                </c:pt>
                <c:pt idx="102">
                  <c:v>2401.8500979999999</c:v>
                </c:pt>
                <c:pt idx="103">
                  <c:v>2428.040039</c:v>
                </c:pt>
                <c:pt idx="104">
                  <c:v>2488.0600589999999</c:v>
                </c:pt>
                <c:pt idx="105">
                  <c:v>2496.139893</c:v>
                </c:pt>
                <c:pt idx="106">
                  <c:v>2481.790039</c:v>
                </c:pt>
                <c:pt idx="107">
                  <c:v>2434.48999</c:v>
                </c:pt>
                <c:pt idx="108">
                  <c:v>2430.719971</c:v>
                </c:pt>
                <c:pt idx="109">
                  <c:v>2408.610107</c:v>
                </c:pt>
                <c:pt idx="110">
                  <c:v>2415.580078</c:v>
                </c:pt>
                <c:pt idx="111">
                  <c:v>2423.320068</c:v>
                </c:pt>
                <c:pt idx="112">
                  <c:v>2457.8999020000001</c:v>
                </c:pt>
                <c:pt idx="113">
                  <c:v>2423.3798830000001</c:v>
                </c:pt>
                <c:pt idx="114">
                  <c:v>2425.9399410000001</c:v>
                </c:pt>
                <c:pt idx="115">
                  <c:v>2397.8701169999999</c:v>
                </c:pt>
                <c:pt idx="116">
                  <c:v>2369.5500489999999</c:v>
                </c:pt>
                <c:pt idx="117">
                  <c:v>2334.919922</c:v>
                </c:pt>
                <c:pt idx="118">
                  <c:v>2306.1499020000001</c:v>
                </c:pt>
                <c:pt idx="119">
                  <c:v>2309.2299800000001</c:v>
                </c:pt>
                <c:pt idx="120">
                  <c:v>2297.330078</c:v>
                </c:pt>
                <c:pt idx="121">
                  <c:v>2281.5600589999999</c:v>
                </c:pt>
                <c:pt idx="122">
                  <c:v>2276.0600589999999</c:v>
                </c:pt>
                <c:pt idx="123">
                  <c:v>2293.1000979999999</c:v>
                </c:pt>
                <c:pt idx="124">
                  <c:v>2262.790039</c:v>
                </c:pt>
                <c:pt idx="125">
                  <c:v>2269.23999</c:v>
                </c:pt>
                <c:pt idx="126">
                  <c:v>2314.6499020000001</c:v>
                </c:pt>
                <c:pt idx="127">
                  <c:v>2314.320068</c:v>
                </c:pt>
                <c:pt idx="128">
                  <c:v>2305.169922</c:v>
                </c:pt>
                <c:pt idx="129">
                  <c:v>2332.719971</c:v>
                </c:pt>
                <c:pt idx="130">
                  <c:v>2331.8500979999999</c:v>
                </c:pt>
                <c:pt idx="131">
                  <c:v>2354.5</c:v>
                </c:pt>
                <c:pt idx="132">
                  <c:v>2331.139893</c:v>
                </c:pt>
                <c:pt idx="133">
                  <c:v>2378.3701169999999</c:v>
                </c:pt>
                <c:pt idx="134">
                  <c:v>2381.219971</c:v>
                </c:pt>
                <c:pt idx="135">
                  <c:v>2371.3500979999999</c:v>
                </c:pt>
                <c:pt idx="136">
                  <c:v>2417.360107</c:v>
                </c:pt>
                <c:pt idx="137">
                  <c:v>2432.48999</c:v>
                </c:pt>
                <c:pt idx="138">
                  <c:v>2401.2299800000001</c:v>
                </c:pt>
                <c:pt idx="139">
                  <c:v>2397.0500489999999</c:v>
                </c:pt>
                <c:pt idx="140">
                  <c:v>2411.5600589999999</c:v>
                </c:pt>
                <c:pt idx="141">
                  <c:v>2441.639893</c:v>
                </c:pt>
                <c:pt idx="142">
                  <c:v>2437.030029</c:v>
                </c:pt>
                <c:pt idx="143">
                  <c:v>2455.8999020000001</c:v>
                </c:pt>
                <c:pt idx="144">
                  <c:v>2440.01001</c:v>
                </c:pt>
                <c:pt idx="145">
                  <c:v>2483.469971</c:v>
                </c:pt>
                <c:pt idx="146">
                  <c:v>2499.639893</c:v>
                </c:pt>
                <c:pt idx="147">
                  <c:v>2527.469971</c:v>
                </c:pt>
                <c:pt idx="148">
                  <c:v>2533.179932</c:v>
                </c:pt>
                <c:pt idx="149">
                  <c:v>2580.610107</c:v>
                </c:pt>
                <c:pt idx="150">
                  <c:v>2576.3100589999999</c:v>
                </c:pt>
                <c:pt idx="151">
                  <c:v>2517.459961</c:v>
                </c:pt>
                <c:pt idx="152">
                  <c:v>2582.8500979999999</c:v>
                </c:pt>
                <c:pt idx="153">
                  <c:v>2579.0500489999999</c:v>
                </c:pt>
                <c:pt idx="154">
                  <c:v>2588.169922</c:v>
                </c:pt>
                <c:pt idx="155">
                  <c:v>2577.2299800000001</c:v>
                </c:pt>
                <c:pt idx="156">
                  <c:v>2623.070068</c:v>
                </c:pt>
                <c:pt idx="157">
                  <c:v>2787.6999510000001</c:v>
                </c:pt>
                <c:pt idx="158">
                  <c:v>2733.8999020000001</c:v>
                </c:pt>
                <c:pt idx="159">
                  <c:v>2750.3400879999999</c:v>
                </c:pt>
                <c:pt idx="160">
                  <c:v>2743.969971</c:v>
                </c:pt>
                <c:pt idx="161">
                  <c:v>2819.469971</c:v>
                </c:pt>
                <c:pt idx="162">
                  <c:v>2832.5900879999999</c:v>
                </c:pt>
                <c:pt idx="163">
                  <c:v>2828.8701169999999</c:v>
                </c:pt>
                <c:pt idx="164">
                  <c:v>2840.2700199999999</c:v>
                </c:pt>
                <c:pt idx="165">
                  <c:v>2789.6999510000001</c:v>
                </c:pt>
                <c:pt idx="166">
                  <c:v>2685.5900879999999</c:v>
                </c:pt>
                <c:pt idx="167">
                  <c:v>2708.6000979999999</c:v>
                </c:pt>
                <c:pt idx="168">
                  <c:v>2719.7700199999999</c:v>
                </c:pt>
                <c:pt idx="169">
                  <c:v>2723.959961</c:v>
                </c:pt>
                <c:pt idx="170">
                  <c:v>2729.1298830000001</c:v>
                </c:pt>
                <c:pt idx="171">
                  <c:v>2755.8100589999999</c:v>
                </c:pt>
                <c:pt idx="172">
                  <c:v>2825.179932</c:v>
                </c:pt>
                <c:pt idx="173">
                  <c:v>2806.8999020000001</c:v>
                </c:pt>
                <c:pt idx="174">
                  <c:v>2812.919922</c:v>
                </c:pt>
                <c:pt idx="175">
                  <c:v>2802.959961</c:v>
                </c:pt>
                <c:pt idx="176">
                  <c:v>2795.389893</c:v>
                </c:pt>
                <c:pt idx="177">
                  <c:v>2718.179932</c:v>
                </c:pt>
                <c:pt idx="178">
                  <c:v>2706.1499020000001</c:v>
                </c:pt>
                <c:pt idx="179">
                  <c:v>2741.5900879999999</c:v>
                </c:pt>
                <c:pt idx="180">
                  <c:v>2733.969971</c:v>
                </c:pt>
                <c:pt idx="181">
                  <c:v>2838.51001</c:v>
                </c:pt>
                <c:pt idx="182">
                  <c:v>2892.6201169999999</c:v>
                </c:pt>
                <c:pt idx="183">
                  <c:v>2888.530029</c:v>
                </c:pt>
                <c:pt idx="184">
                  <c:v>2920</c:v>
                </c:pt>
                <c:pt idx="185">
                  <c:v>2951.9799800000001</c:v>
                </c:pt>
                <c:pt idx="186">
                  <c:v>2962.2700199999999</c:v>
                </c:pt>
                <c:pt idx="187">
                  <c:v>2967.51001</c:v>
                </c:pt>
                <c:pt idx="188">
                  <c:v>2979.1000979999999</c:v>
                </c:pt>
                <c:pt idx="189">
                  <c:v>2928.429932</c:v>
                </c:pt>
                <c:pt idx="190">
                  <c:v>2920.5200199999999</c:v>
                </c:pt>
                <c:pt idx="191">
                  <c:v>2924.929932</c:v>
                </c:pt>
                <c:pt idx="192">
                  <c:v>3023.030029</c:v>
                </c:pt>
                <c:pt idx="193">
                  <c:v>3017.419922</c:v>
                </c:pt>
                <c:pt idx="194">
                  <c:v>3004.919922</c:v>
                </c:pt>
                <c:pt idx="195">
                  <c:v>3042.429932</c:v>
                </c:pt>
                <c:pt idx="196">
                  <c:v>2970.48999</c:v>
                </c:pt>
                <c:pt idx="197">
                  <c:v>2978.8500979999999</c:v>
                </c:pt>
                <c:pt idx="198">
                  <c:v>2974.8500979999999</c:v>
                </c:pt>
                <c:pt idx="199">
                  <c:v>2928</c:v>
                </c:pt>
                <c:pt idx="200">
                  <c:v>2892.860107</c:v>
                </c:pt>
                <c:pt idx="201">
                  <c:v>2805.040039</c:v>
                </c:pt>
                <c:pt idx="202">
                  <c:v>2806.26001</c:v>
                </c:pt>
                <c:pt idx="203">
                  <c:v>2758.23999</c:v>
                </c:pt>
                <c:pt idx="204">
                  <c:v>2698.780029</c:v>
                </c:pt>
                <c:pt idx="205">
                  <c:v>2793.76001</c:v>
                </c:pt>
                <c:pt idx="206">
                  <c:v>2741.110107</c:v>
                </c:pt>
                <c:pt idx="207">
                  <c:v>2724.7299800000001</c:v>
                </c:pt>
                <c:pt idx="208">
                  <c:v>2783.540039</c:v>
                </c:pt>
                <c:pt idx="209">
                  <c:v>2791.4099120000001</c:v>
                </c:pt>
                <c:pt idx="210">
                  <c:v>2735.209961</c:v>
                </c:pt>
                <c:pt idx="211">
                  <c:v>2715.429932</c:v>
                </c:pt>
                <c:pt idx="212">
                  <c:v>2739.790039</c:v>
                </c:pt>
                <c:pt idx="213">
                  <c:v>2725.7299800000001</c:v>
                </c:pt>
                <c:pt idx="214">
                  <c:v>2685.929932</c:v>
                </c:pt>
                <c:pt idx="215">
                  <c:v>2702.030029</c:v>
                </c:pt>
                <c:pt idx="216">
                  <c:v>2722.330078</c:v>
                </c:pt>
                <c:pt idx="217">
                  <c:v>2748.8000489999999</c:v>
                </c:pt>
                <c:pt idx="218">
                  <c:v>2755.8100589999999</c:v>
                </c:pt>
                <c:pt idx="219">
                  <c:v>2742.959961</c:v>
                </c:pt>
                <c:pt idx="220">
                  <c:v>2728.9499510000001</c:v>
                </c:pt>
                <c:pt idx="221">
                  <c:v>2743.0600589999999</c:v>
                </c:pt>
                <c:pt idx="222">
                  <c:v>2721.3100589999999</c:v>
                </c:pt>
                <c:pt idx="223">
                  <c:v>2719.5900879999999</c:v>
                </c:pt>
                <c:pt idx="224">
                  <c:v>2706.76001</c:v>
                </c:pt>
                <c:pt idx="225">
                  <c:v>2743.3701169999999</c:v>
                </c:pt>
                <c:pt idx="226">
                  <c:v>2812.8999020000001</c:v>
                </c:pt>
                <c:pt idx="227">
                  <c:v>2796.7299800000001</c:v>
                </c:pt>
                <c:pt idx="228">
                  <c:v>2794.540039</c:v>
                </c:pt>
                <c:pt idx="229">
                  <c:v>2785.610107</c:v>
                </c:pt>
                <c:pt idx="230">
                  <c:v>2793.6999510000001</c:v>
                </c:pt>
                <c:pt idx="231">
                  <c:v>2806.4499510000001</c:v>
                </c:pt>
                <c:pt idx="232">
                  <c:v>2842.73999</c:v>
                </c:pt>
                <c:pt idx="233">
                  <c:v>2942.6298830000001</c:v>
                </c:pt>
                <c:pt idx="234">
                  <c:v>2938.7700199999999</c:v>
                </c:pt>
                <c:pt idx="235">
                  <c:v>2949.5200199999999</c:v>
                </c:pt>
                <c:pt idx="236">
                  <c:v>2910.1201169999999</c:v>
                </c:pt>
                <c:pt idx="237">
                  <c:v>2903.48999</c:v>
                </c:pt>
                <c:pt idx="238">
                  <c:v>2937.1298830000001</c:v>
                </c:pt>
                <c:pt idx="239">
                  <c:v>2930.6000979999999</c:v>
                </c:pt>
                <c:pt idx="240">
                  <c:v>3002.9399410000001</c:v>
                </c:pt>
                <c:pt idx="241">
                  <c:v>2999.080078</c:v>
                </c:pt>
                <c:pt idx="242">
                  <c:v>2964.7299800000001</c:v>
                </c:pt>
                <c:pt idx="243">
                  <c:v>2953.2700199999999</c:v>
                </c:pt>
                <c:pt idx="244">
                  <c:v>2961.919922</c:v>
                </c:pt>
                <c:pt idx="245">
                  <c:v>2897.51001</c:v>
                </c:pt>
                <c:pt idx="246">
                  <c:v>2881.5500489999999</c:v>
                </c:pt>
                <c:pt idx="247">
                  <c:v>2878.780029</c:v>
                </c:pt>
                <c:pt idx="248">
                  <c:v>2887.830078</c:v>
                </c:pt>
                <c:pt idx="249">
                  <c:v>2902.1298830000001</c:v>
                </c:pt>
                <c:pt idx="250">
                  <c:v>2902.610107</c:v>
                </c:pt>
                <c:pt idx="251">
                  <c:v>2884.5600589999999</c:v>
                </c:pt>
                <c:pt idx="252">
                  <c:v>2875.030029</c:v>
                </c:pt>
                <c:pt idx="253">
                  <c:v>2859.1599120000001</c:v>
                </c:pt>
                <c:pt idx="254">
                  <c:v>2895.6201169999999</c:v>
                </c:pt>
                <c:pt idx="255">
                  <c:v>2881.8999020000001</c:v>
                </c:pt>
                <c:pt idx="256">
                  <c:v>2881.1000979999999</c:v>
                </c:pt>
                <c:pt idx="257">
                  <c:v>2906.5500489999999</c:v>
                </c:pt>
                <c:pt idx="258">
                  <c:v>2931.179932</c:v>
                </c:pt>
                <c:pt idx="259">
                  <c:v>2939.3500979999999</c:v>
                </c:pt>
                <c:pt idx="260">
                  <c:v>2930.48999</c:v>
                </c:pt>
                <c:pt idx="261">
                  <c:v>2944.030029</c:v>
                </c:pt>
                <c:pt idx="262">
                  <c:v>2912.6599120000001</c:v>
                </c:pt>
                <c:pt idx="263">
                  <c:v>2887.8701169999999</c:v>
                </c:pt>
                <c:pt idx="264">
                  <c:v>2843.7700199999999</c:v>
                </c:pt>
                <c:pt idx="265">
                  <c:v>2786.719971</c:v>
                </c:pt>
                <c:pt idx="266">
                  <c:v>2760.679932</c:v>
                </c:pt>
                <c:pt idx="267">
                  <c:v>2747.25</c:v>
                </c:pt>
                <c:pt idx="268">
                  <c:v>2786.8701169999999</c:v>
                </c:pt>
                <c:pt idx="269">
                  <c:v>2772.1499020000001</c:v>
                </c:pt>
                <c:pt idx="270">
                  <c:v>2824.8000489999999</c:v>
                </c:pt>
                <c:pt idx="271">
                  <c:v>2792.9099120000001</c:v>
                </c:pt>
                <c:pt idx="272">
                  <c:v>2804.360107</c:v>
                </c:pt>
                <c:pt idx="273">
                  <c:v>2814.389893</c:v>
                </c:pt>
                <c:pt idx="274">
                  <c:v>2824.2299800000001</c:v>
                </c:pt>
                <c:pt idx="275">
                  <c:v>2877.2299800000001</c:v>
                </c:pt>
                <c:pt idx="276">
                  <c:v>2875.6499020000001</c:v>
                </c:pt>
                <c:pt idx="277">
                  <c:v>2869.219971</c:v>
                </c:pt>
                <c:pt idx="278">
                  <c:v>2878</c:v>
                </c:pt>
                <c:pt idx="279">
                  <c:v>2917.3798830000001</c:v>
                </c:pt>
                <c:pt idx="280">
                  <c:v>2863.4799800000001</c:v>
                </c:pt>
                <c:pt idx="281">
                  <c:v>2887.23999</c:v>
                </c:pt>
                <c:pt idx="282">
                  <c:v>2867.030029</c:v>
                </c:pt>
                <c:pt idx="283">
                  <c:v>2855.4499510000001</c:v>
                </c:pt>
                <c:pt idx="284">
                  <c:v>2872.3999020000001</c:v>
                </c:pt>
                <c:pt idx="285">
                  <c:v>2894.959961</c:v>
                </c:pt>
                <c:pt idx="286">
                  <c:v>2892.179932</c:v>
                </c:pt>
                <c:pt idx="287">
                  <c:v>2919.679932</c:v>
                </c:pt>
                <c:pt idx="288">
                  <c:v>2955.8400879999999</c:v>
                </c:pt>
                <c:pt idx="289">
                  <c:v>2981.070068</c:v>
                </c:pt>
                <c:pt idx="290">
                  <c:v>2981.5900879999999</c:v>
                </c:pt>
                <c:pt idx="291">
                  <c:v>2969.8000489999999</c:v>
                </c:pt>
                <c:pt idx="292">
                  <c:v>2957.139893</c:v>
                </c:pt>
                <c:pt idx="293">
                  <c:v>2999.5600589999999</c:v>
                </c:pt>
                <c:pt idx="294">
                  <c:v>2982.4499510000001</c:v>
                </c:pt>
                <c:pt idx="295">
                  <c:v>2937.01001</c:v>
                </c:pt>
                <c:pt idx="296">
                  <c:v>2954.360107</c:v>
                </c:pt>
                <c:pt idx="297">
                  <c:v>2956.830078</c:v>
                </c:pt>
                <c:pt idx="298">
                  <c:v>2963.429932</c:v>
                </c:pt>
                <c:pt idx="299">
                  <c:v>2930.9099120000001</c:v>
                </c:pt>
                <c:pt idx="300">
                  <c:v>2940.080078</c:v>
                </c:pt>
                <c:pt idx="301">
                  <c:v>2928.8400879999999</c:v>
                </c:pt>
                <c:pt idx="302">
                  <c:v>2927.8798830000001</c:v>
                </c:pt>
                <c:pt idx="303">
                  <c:v>2929.469971</c:v>
                </c:pt>
                <c:pt idx="304">
                  <c:v>2897.6999510000001</c:v>
                </c:pt>
                <c:pt idx="305">
                  <c:v>2922.3500979999999</c:v>
                </c:pt>
                <c:pt idx="306">
                  <c:v>2922.9799800000001</c:v>
                </c:pt>
                <c:pt idx="307">
                  <c:v>2940.8000489999999</c:v>
                </c:pt>
                <c:pt idx="308">
                  <c:v>2983.1201169999999</c:v>
                </c:pt>
                <c:pt idx="309">
                  <c:v>3013.530029</c:v>
                </c:pt>
                <c:pt idx="310">
                  <c:v>3015.419922</c:v>
                </c:pt>
                <c:pt idx="311">
                  <c:v>3004.719971</c:v>
                </c:pt>
                <c:pt idx="312">
                  <c:v>3011.75</c:v>
                </c:pt>
                <c:pt idx="313">
                  <c:v>2963.179932</c:v>
                </c:pt>
                <c:pt idx="314">
                  <c:v>2968.9099120000001</c:v>
                </c:pt>
                <c:pt idx="315">
                  <c:v>2973.219971</c:v>
                </c:pt>
              </c:numCache>
            </c:numRef>
          </c:val>
          <c:smooth val="0"/>
          <c:extLst>
            <c:ext xmlns:c16="http://schemas.microsoft.com/office/drawing/2014/chart" uri="{C3380CC4-5D6E-409C-BE32-E72D297353CC}">
              <c16:uniqueId val="{00000000-4243-5543-835F-C09F17573004}"/>
            </c:ext>
          </c:extLst>
        </c:ser>
        <c:dLbls>
          <c:showLegendKey val="0"/>
          <c:showVal val="0"/>
          <c:showCatName val="0"/>
          <c:showSerName val="0"/>
          <c:showPercent val="0"/>
          <c:showBubbleSize val="0"/>
        </c:dLbls>
        <c:marker val="1"/>
        <c:smooth val="0"/>
        <c:axId val="1725526144"/>
        <c:axId val="1723057520"/>
      </c:lineChart>
      <c:lineChart>
        <c:grouping val="standard"/>
        <c:varyColors val="0"/>
        <c:ser>
          <c:idx val="1"/>
          <c:order val="1"/>
          <c:tx>
            <c:strRef>
              <c:f>'^SSE50'!$C$1</c:f>
              <c:strCache>
                <c:ptCount val="1"/>
                <c:pt idx="0">
                  <c:v>Calculated_VIX</c:v>
                </c:pt>
              </c:strCache>
            </c:strRef>
          </c:tx>
          <c:spPr>
            <a:ln w="28575" cap="rnd">
              <a:solidFill>
                <a:srgbClr val="FFC000"/>
              </a:solidFill>
              <a:round/>
            </a:ln>
            <a:effectLst/>
          </c:spPr>
          <c:marker>
            <c:symbol val="none"/>
          </c:marker>
          <c:cat>
            <c:strRef>
              <c:f>'^SSE50'!$A:$A</c:f>
              <c:strCache>
                <c:ptCount val="317"/>
                <c:pt idx="0">
                  <c:v>Date</c:v>
                </c:pt>
                <c:pt idx="1">
                  <c:v>2018/7/2</c:v>
                </c:pt>
                <c:pt idx="2">
                  <c:v>2018/7/3</c:v>
                </c:pt>
                <c:pt idx="3">
                  <c:v>2018/7/4</c:v>
                </c:pt>
                <c:pt idx="4">
                  <c:v>2018/7/5</c:v>
                </c:pt>
                <c:pt idx="5">
                  <c:v>2018/7/6</c:v>
                </c:pt>
                <c:pt idx="6">
                  <c:v>2018/7/9</c:v>
                </c:pt>
                <c:pt idx="7">
                  <c:v>2018/7/10</c:v>
                </c:pt>
                <c:pt idx="8">
                  <c:v>2018/7/11</c:v>
                </c:pt>
                <c:pt idx="9">
                  <c:v>2018/7/12</c:v>
                </c:pt>
                <c:pt idx="10">
                  <c:v>2018/7/13</c:v>
                </c:pt>
                <c:pt idx="11">
                  <c:v>2018/7/16</c:v>
                </c:pt>
                <c:pt idx="12">
                  <c:v>2018/7/17</c:v>
                </c:pt>
                <c:pt idx="13">
                  <c:v>2018/7/18</c:v>
                </c:pt>
                <c:pt idx="14">
                  <c:v>2018/7/19</c:v>
                </c:pt>
                <c:pt idx="15">
                  <c:v>2018/7/20</c:v>
                </c:pt>
                <c:pt idx="16">
                  <c:v>2018/7/23</c:v>
                </c:pt>
                <c:pt idx="17">
                  <c:v>2018/7/24</c:v>
                </c:pt>
                <c:pt idx="18">
                  <c:v>2018/7/25</c:v>
                </c:pt>
                <c:pt idx="19">
                  <c:v>2018/7/26</c:v>
                </c:pt>
                <c:pt idx="20">
                  <c:v>2018/7/27</c:v>
                </c:pt>
                <c:pt idx="21">
                  <c:v>2018/7/30</c:v>
                </c:pt>
                <c:pt idx="22">
                  <c:v>2018/7/31</c:v>
                </c:pt>
                <c:pt idx="23">
                  <c:v>2018/8/1</c:v>
                </c:pt>
                <c:pt idx="24">
                  <c:v>2018/8/2</c:v>
                </c:pt>
                <c:pt idx="25">
                  <c:v>2018/8/3</c:v>
                </c:pt>
                <c:pt idx="26">
                  <c:v>2018/8/6</c:v>
                </c:pt>
                <c:pt idx="27">
                  <c:v>2018/8/7</c:v>
                </c:pt>
                <c:pt idx="28">
                  <c:v>2018/8/8</c:v>
                </c:pt>
                <c:pt idx="29">
                  <c:v>2018/8/9</c:v>
                </c:pt>
                <c:pt idx="30">
                  <c:v>2018/8/10</c:v>
                </c:pt>
                <c:pt idx="31">
                  <c:v>2018/8/13</c:v>
                </c:pt>
                <c:pt idx="32">
                  <c:v>2018/8/14</c:v>
                </c:pt>
                <c:pt idx="33">
                  <c:v>2018/8/15</c:v>
                </c:pt>
                <c:pt idx="34">
                  <c:v>2018/8/16</c:v>
                </c:pt>
                <c:pt idx="35">
                  <c:v>2018/8/17</c:v>
                </c:pt>
                <c:pt idx="36">
                  <c:v>2018/8/20</c:v>
                </c:pt>
                <c:pt idx="37">
                  <c:v>2018/8/21</c:v>
                </c:pt>
                <c:pt idx="38">
                  <c:v>2018/8/22</c:v>
                </c:pt>
                <c:pt idx="39">
                  <c:v>2018/8/23</c:v>
                </c:pt>
                <c:pt idx="40">
                  <c:v>2018/8/24</c:v>
                </c:pt>
                <c:pt idx="41">
                  <c:v>2018/8/27</c:v>
                </c:pt>
                <c:pt idx="42">
                  <c:v>2018/8/28</c:v>
                </c:pt>
                <c:pt idx="43">
                  <c:v>2018/8/29</c:v>
                </c:pt>
                <c:pt idx="44">
                  <c:v>2018/8/30</c:v>
                </c:pt>
                <c:pt idx="45">
                  <c:v>2018/8/31</c:v>
                </c:pt>
                <c:pt idx="46">
                  <c:v>2018/9/3</c:v>
                </c:pt>
                <c:pt idx="47">
                  <c:v>2018/9/4</c:v>
                </c:pt>
                <c:pt idx="48">
                  <c:v>2018/9/5</c:v>
                </c:pt>
                <c:pt idx="49">
                  <c:v>2018/9/6</c:v>
                </c:pt>
                <c:pt idx="50">
                  <c:v>2018/9/7</c:v>
                </c:pt>
                <c:pt idx="51">
                  <c:v>2018/9/10</c:v>
                </c:pt>
                <c:pt idx="52">
                  <c:v>2018/9/11</c:v>
                </c:pt>
                <c:pt idx="53">
                  <c:v>2018/9/12</c:v>
                </c:pt>
                <c:pt idx="54">
                  <c:v>2018/9/13</c:v>
                </c:pt>
                <c:pt idx="55">
                  <c:v>2018/9/14</c:v>
                </c:pt>
                <c:pt idx="56">
                  <c:v>2018/9/17</c:v>
                </c:pt>
                <c:pt idx="57">
                  <c:v>2018/9/18</c:v>
                </c:pt>
                <c:pt idx="58">
                  <c:v>2018/9/19</c:v>
                </c:pt>
                <c:pt idx="59">
                  <c:v>2018/9/20</c:v>
                </c:pt>
                <c:pt idx="60">
                  <c:v>2018/9/21</c:v>
                </c:pt>
                <c:pt idx="61">
                  <c:v>2018/9/25</c:v>
                </c:pt>
                <c:pt idx="62">
                  <c:v>2018/9/26</c:v>
                </c:pt>
                <c:pt idx="63">
                  <c:v>2018/9/27</c:v>
                </c:pt>
                <c:pt idx="64">
                  <c:v>2018/9/28</c:v>
                </c:pt>
                <c:pt idx="65">
                  <c:v>2018/10/8</c:v>
                </c:pt>
                <c:pt idx="66">
                  <c:v>2018/10/9</c:v>
                </c:pt>
                <c:pt idx="67">
                  <c:v>2018/10/10</c:v>
                </c:pt>
                <c:pt idx="68">
                  <c:v>2018/10/11</c:v>
                </c:pt>
                <c:pt idx="69">
                  <c:v>2018/10/12</c:v>
                </c:pt>
                <c:pt idx="70">
                  <c:v>2018/10/15</c:v>
                </c:pt>
                <c:pt idx="71">
                  <c:v>2018/10/16</c:v>
                </c:pt>
                <c:pt idx="72">
                  <c:v>2018/10/17</c:v>
                </c:pt>
                <c:pt idx="73">
                  <c:v>2018/10/18</c:v>
                </c:pt>
                <c:pt idx="74">
                  <c:v>2018/10/19</c:v>
                </c:pt>
                <c:pt idx="75">
                  <c:v>2018/10/22</c:v>
                </c:pt>
                <c:pt idx="76">
                  <c:v>2018/10/23</c:v>
                </c:pt>
                <c:pt idx="77">
                  <c:v>2018/10/24</c:v>
                </c:pt>
                <c:pt idx="78">
                  <c:v>2018/10/25</c:v>
                </c:pt>
                <c:pt idx="79">
                  <c:v>2018/10/26</c:v>
                </c:pt>
                <c:pt idx="80">
                  <c:v>2018/10/29</c:v>
                </c:pt>
                <c:pt idx="81">
                  <c:v>2018/10/30</c:v>
                </c:pt>
                <c:pt idx="82">
                  <c:v>2018/10/31</c:v>
                </c:pt>
                <c:pt idx="83">
                  <c:v>2018/11/1</c:v>
                </c:pt>
                <c:pt idx="84">
                  <c:v>2018/11/2</c:v>
                </c:pt>
                <c:pt idx="85">
                  <c:v>2018/11/5</c:v>
                </c:pt>
                <c:pt idx="86">
                  <c:v>2018/11/6</c:v>
                </c:pt>
                <c:pt idx="87">
                  <c:v>2018/11/7</c:v>
                </c:pt>
                <c:pt idx="88">
                  <c:v>2018/11/8</c:v>
                </c:pt>
                <c:pt idx="89">
                  <c:v>2018/11/9</c:v>
                </c:pt>
                <c:pt idx="90">
                  <c:v>2018/11/12</c:v>
                </c:pt>
                <c:pt idx="91">
                  <c:v>2018/11/13</c:v>
                </c:pt>
                <c:pt idx="92">
                  <c:v>2018/11/14</c:v>
                </c:pt>
                <c:pt idx="93">
                  <c:v>2018/11/15</c:v>
                </c:pt>
                <c:pt idx="94">
                  <c:v>2018/11/16</c:v>
                </c:pt>
                <c:pt idx="95">
                  <c:v>2018/11/19</c:v>
                </c:pt>
                <c:pt idx="96">
                  <c:v>2018/11/20</c:v>
                </c:pt>
                <c:pt idx="97">
                  <c:v>2018/11/21</c:v>
                </c:pt>
                <c:pt idx="98">
                  <c:v>2018/11/22</c:v>
                </c:pt>
                <c:pt idx="99">
                  <c:v>2018/11/23</c:v>
                </c:pt>
                <c:pt idx="100">
                  <c:v>2018/11/26</c:v>
                </c:pt>
                <c:pt idx="101">
                  <c:v>2018/11/27</c:v>
                </c:pt>
                <c:pt idx="102">
                  <c:v>2018/11/28</c:v>
                </c:pt>
                <c:pt idx="103">
                  <c:v>2018/11/29</c:v>
                </c:pt>
                <c:pt idx="104">
                  <c:v>2018/11/30</c:v>
                </c:pt>
                <c:pt idx="105">
                  <c:v>2018/12/3</c:v>
                </c:pt>
                <c:pt idx="106">
                  <c:v>2018/12/4</c:v>
                </c:pt>
                <c:pt idx="107">
                  <c:v>2018/12/5</c:v>
                </c:pt>
                <c:pt idx="108">
                  <c:v>2018/12/6</c:v>
                </c:pt>
                <c:pt idx="109">
                  <c:v>2018/12/7</c:v>
                </c:pt>
                <c:pt idx="110">
                  <c:v>2018/12/10</c:v>
                </c:pt>
                <c:pt idx="111">
                  <c:v>2018/12/11</c:v>
                </c:pt>
                <c:pt idx="112">
                  <c:v>2018/12/12</c:v>
                </c:pt>
                <c:pt idx="113">
                  <c:v>2018/12/13</c:v>
                </c:pt>
                <c:pt idx="114">
                  <c:v>2018/12/14</c:v>
                </c:pt>
                <c:pt idx="115">
                  <c:v>2018/12/17</c:v>
                </c:pt>
                <c:pt idx="116">
                  <c:v>2018/12/18</c:v>
                </c:pt>
                <c:pt idx="117">
                  <c:v>2018/12/19</c:v>
                </c:pt>
                <c:pt idx="118">
                  <c:v>2018/12/20</c:v>
                </c:pt>
                <c:pt idx="119">
                  <c:v>2018/12/21</c:v>
                </c:pt>
                <c:pt idx="120">
                  <c:v>2018/12/24</c:v>
                </c:pt>
                <c:pt idx="121">
                  <c:v>2018/12/25</c:v>
                </c:pt>
                <c:pt idx="122">
                  <c:v>2018/12/26</c:v>
                </c:pt>
                <c:pt idx="123">
                  <c:v>2018/12/27</c:v>
                </c:pt>
                <c:pt idx="124">
                  <c:v>2018/12/28</c:v>
                </c:pt>
                <c:pt idx="125">
                  <c:v>2019/1/2</c:v>
                </c:pt>
                <c:pt idx="126">
                  <c:v>2019/1/3</c:v>
                </c:pt>
                <c:pt idx="127">
                  <c:v>2019/1/4</c:v>
                </c:pt>
                <c:pt idx="128">
                  <c:v>2019/1/7</c:v>
                </c:pt>
                <c:pt idx="129">
                  <c:v>2019/1/8</c:v>
                </c:pt>
                <c:pt idx="130">
                  <c:v>2019/1/9</c:v>
                </c:pt>
                <c:pt idx="131">
                  <c:v>2019/1/10</c:v>
                </c:pt>
                <c:pt idx="132">
                  <c:v>2019/1/11</c:v>
                </c:pt>
                <c:pt idx="133">
                  <c:v>2019/1/14</c:v>
                </c:pt>
                <c:pt idx="134">
                  <c:v>2019/1/15</c:v>
                </c:pt>
                <c:pt idx="135">
                  <c:v>2019/1/16</c:v>
                </c:pt>
                <c:pt idx="136">
                  <c:v>2019/1/17</c:v>
                </c:pt>
                <c:pt idx="137">
                  <c:v>2019/1/18</c:v>
                </c:pt>
                <c:pt idx="138">
                  <c:v>2019/1/21</c:v>
                </c:pt>
                <c:pt idx="139">
                  <c:v>2019/1/22</c:v>
                </c:pt>
                <c:pt idx="140">
                  <c:v>2019/1/23</c:v>
                </c:pt>
                <c:pt idx="141">
                  <c:v>2019/1/24</c:v>
                </c:pt>
                <c:pt idx="142">
                  <c:v>2019/1/25</c:v>
                </c:pt>
                <c:pt idx="143">
                  <c:v>2019/1/28</c:v>
                </c:pt>
                <c:pt idx="144">
                  <c:v>2019/1/29</c:v>
                </c:pt>
                <c:pt idx="145">
                  <c:v>2019/1/30</c:v>
                </c:pt>
                <c:pt idx="146">
                  <c:v>2019/1/31</c:v>
                </c:pt>
                <c:pt idx="147">
                  <c:v>2019/2/1</c:v>
                </c:pt>
                <c:pt idx="148">
                  <c:v>2019/2/11</c:v>
                </c:pt>
                <c:pt idx="149">
                  <c:v>2019/2/12</c:v>
                </c:pt>
                <c:pt idx="150">
                  <c:v>2019/2/13</c:v>
                </c:pt>
                <c:pt idx="151">
                  <c:v>2019/2/14</c:v>
                </c:pt>
                <c:pt idx="152">
                  <c:v>2019/2/15</c:v>
                </c:pt>
                <c:pt idx="153">
                  <c:v>2019/2/18</c:v>
                </c:pt>
                <c:pt idx="154">
                  <c:v>2019/2/19</c:v>
                </c:pt>
                <c:pt idx="155">
                  <c:v>2019/2/20</c:v>
                </c:pt>
                <c:pt idx="156">
                  <c:v>2019/2/21</c:v>
                </c:pt>
                <c:pt idx="157">
                  <c:v>2019/2/22</c:v>
                </c:pt>
                <c:pt idx="158">
                  <c:v>2019/2/25</c:v>
                </c:pt>
                <c:pt idx="159">
                  <c:v>2019/2/26</c:v>
                </c:pt>
                <c:pt idx="160">
                  <c:v>2019/2/27</c:v>
                </c:pt>
                <c:pt idx="161">
                  <c:v>2019/2/28</c:v>
                </c:pt>
                <c:pt idx="162">
                  <c:v>2019/3/1</c:v>
                </c:pt>
                <c:pt idx="163">
                  <c:v>2019/3/4</c:v>
                </c:pt>
                <c:pt idx="164">
                  <c:v>2019/3/5</c:v>
                </c:pt>
                <c:pt idx="165">
                  <c:v>2019/3/6</c:v>
                </c:pt>
                <c:pt idx="166">
                  <c:v>2019/3/7</c:v>
                </c:pt>
                <c:pt idx="167">
                  <c:v>2019/3/8</c:v>
                </c:pt>
                <c:pt idx="168">
                  <c:v>2019/3/11</c:v>
                </c:pt>
                <c:pt idx="169">
                  <c:v>2019/3/12</c:v>
                </c:pt>
                <c:pt idx="170">
                  <c:v>2019/3/13</c:v>
                </c:pt>
                <c:pt idx="171">
                  <c:v>2019/3/14</c:v>
                </c:pt>
                <c:pt idx="172">
                  <c:v>2019/3/15</c:v>
                </c:pt>
                <c:pt idx="173">
                  <c:v>2019/3/18</c:v>
                </c:pt>
                <c:pt idx="174">
                  <c:v>2019/3/19</c:v>
                </c:pt>
                <c:pt idx="175">
                  <c:v>2019/3/20</c:v>
                </c:pt>
                <c:pt idx="176">
                  <c:v>2019/3/21</c:v>
                </c:pt>
                <c:pt idx="177">
                  <c:v>2019/3/22</c:v>
                </c:pt>
                <c:pt idx="178">
                  <c:v>2019/3/25</c:v>
                </c:pt>
                <c:pt idx="179">
                  <c:v>2019/3/26</c:v>
                </c:pt>
                <c:pt idx="180">
                  <c:v>2019/3/27</c:v>
                </c:pt>
                <c:pt idx="181">
                  <c:v>2019/3/28</c:v>
                </c:pt>
                <c:pt idx="182">
                  <c:v>2019/3/29</c:v>
                </c:pt>
                <c:pt idx="183">
                  <c:v>2019/4/1</c:v>
                </c:pt>
                <c:pt idx="184">
                  <c:v>2019/4/2</c:v>
                </c:pt>
                <c:pt idx="185">
                  <c:v>2019/4/3</c:v>
                </c:pt>
                <c:pt idx="186">
                  <c:v>2019/4/4</c:v>
                </c:pt>
                <c:pt idx="187">
                  <c:v>2019/4/8</c:v>
                </c:pt>
                <c:pt idx="188">
                  <c:v>2019/4/9</c:v>
                </c:pt>
                <c:pt idx="189">
                  <c:v>2019/4/10</c:v>
                </c:pt>
                <c:pt idx="190">
                  <c:v>2019/4/11</c:v>
                </c:pt>
                <c:pt idx="191">
                  <c:v>2019/4/12</c:v>
                </c:pt>
                <c:pt idx="192">
                  <c:v>2019/4/15</c:v>
                </c:pt>
                <c:pt idx="193">
                  <c:v>2019/4/16</c:v>
                </c:pt>
                <c:pt idx="194">
                  <c:v>2019/4/17</c:v>
                </c:pt>
                <c:pt idx="195">
                  <c:v>2019/4/18</c:v>
                </c:pt>
                <c:pt idx="196">
                  <c:v>2019/4/19</c:v>
                </c:pt>
                <c:pt idx="197">
                  <c:v>2019/4/22</c:v>
                </c:pt>
                <c:pt idx="198">
                  <c:v>2019/4/23</c:v>
                </c:pt>
                <c:pt idx="199">
                  <c:v>2019/4/24</c:v>
                </c:pt>
                <c:pt idx="200">
                  <c:v>2019/4/25</c:v>
                </c:pt>
                <c:pt idx="201">
                  <c:v>2019/4/26</c:v>
                </c:pt>
                <c:pt idx="202">
                  <c:v>2019/5/6</c:v>
                </c:pt>
                <c:pt idx="203">
                  <c:v>2019/5/7</c:v>
                </c:pt>
                <c:pt idx="204">
                  <c:v>2019/5/8</c:v>
                </c:pt>
                <c:pt idx="205">
                  <c:v>2019/5/9</c:v>
                </c:pt>
                <c:pt idx="206">
                  <c:v>2019/5/10</c:v>
                </c:pt>
                <c:pt idx="207">
                  <c:v>2019/5/13</c:v>
                </c:pt>
                <c:pt idx="208">
                  <c:v>2019/5/14</c:v>
                </c:pt>
                <c:pt idx="209">
                  <c:v>2019/5/15</c:v>
                </c:pt>
                <c:pt idx="210">
                  <c:v>2019/5/16</c:v>
                </c:pt>
                <c:pt idx="211">
                  <c:v>2019/5/17</c:v>
                </c:pt>
                <c:pt idx="212">
                  <c:v>2019/5/20</c:v>
                </c:pt>
                <c:pt idx="213">
                  <c:v>2019/5/21</c:v>
                </c:pt>
                <c:pt idx="214">
                  <c:v>2019/5/22</c:v>
                </c:pt>
                <c:pt idx="215">
                  <c:v>2019/5/23</c:v>
                </c:pt>
                <c:pt idx="216">
                  <c:v>2019/5/24</c:v>
                </c:pt>
                <c:pt idx="217">
                  <c:v>2019/5/27</c:v>
                </c:pt>
                <c:pt idx="218">
                  <c:v>2019/5/28</c:v>
                </c:pt>
                <c:pt idx="219">
                  <c:v>2019/5/29</c:v>
                </c:pt>
                <c:pt idx="220">
                  <c:v>2019/5/30</c:v>
                </c:pt>
                <c:pt idx="221">
                  <c:v>2019/5/31</c:v>
                </c:pt>
                <c:pt idx="222">
                  <c:v>2019/6/3</c:v>
                </c:pt>
                <c:pt idx="223">
                  <c:v>2019/6/4</c:v>
                </c:pt>
                <c:pt idx="224">
                  <c:v>2019/6/5</c:v>
                </c:pt>
                <c:pt idx="225">
                  <c:v>2019/6/6</c:v>
                </c:pt>
                <c:pt idx="226">
                  <c:v>2019/6/10</c:v>
                </c:pt>
                <c:pt idx="227">
                  <c:v>2019/6/11</c:v>
                </c:pt>
                <c:pt idx="228">
                  <c:v>2019/6/12</c:v>
                </c:pt>
                <c:pt idx="229">
                  <c:v>2019/6/13</c:v>
                </c:pt>
                <c:pt idx="230">
                  <c:v>2019/6/14</c:v>
                </c:pt>
                <c:pt idx="231">
                  <c:v>2019/6/17</c:v>
                </c:pt>
                <c:pt idx="232">
                  <c:v>2019/6/18</c:v>
                </c:pt>
                <c:pt idx="233">
                  <c:v>2019/6/19</c:v>
                </c:pt>
                <c:pt idx="234">
                  <c:v>2019/6/20</c:v>
                </c:pt>
                <c:pt idx="235">
                  <c:v>2019/6/21</c:v>
                </c:pt>
                <c:pt idx="236">
                  <c:v>2019/6/24</c:v>
                </c:pt>
                <c:pt idx="237">
                  <c:v>2019/6/25</c:v>
                </c:pt>
                <c:pt idx="238">
                  <c:v>2019/6/26</c:v>
                </c:pt>
                <c:pt idx="239">
                  <c:v>2019/6/27</c:v>
                </c:pt>
                <c:pt idx="240">
                  <c:v>2019/6/28</c:v>
                </c:pt>
                <c:pt idx="241">
                  <c:v>2019/7/1</c:v>
                </c:pt>
                <c:pt idx="242">
                  <c:v>2019/7/2</c:v>
                </c:pt>
                <c:pt idx="243">
                  <c:v>2019/7/3</c:v>
                </c:pt>
                <c:pt idx="244">
                  <c:v>2019/7/4</c:v>
                </c:pt>
                <c:pt idx="245">
                  <c:v>2019/7/5</c:v>
                </c:pt>
                <c:pt idx="246">
                  <c:v>2019/7/8</c:v>
                </c:pt>
                <c:pt idx="247">
                  <c:v>2019/7/9</c:v>
                </c:pt>
                <c:pt idx="248">
                  <c:v>2019/7/10</c:v>
                </c:pt>
                <c:pt idx="249">
                  <c:v>2019/7/11</c:v>
                </c:pt>
                <c:pt idx="250">
                  <c:v>2019/7/12</c:v>
                </c:pt>
                <c:pt idx="251">
                  <c:v>2019/7/15</c:v>
                </c:pt>
                <c:pt idx="252">
                  <c:v>2019/7/16</c:v>
                </c:pt>
                <c:pt idx="253">
                  <c:v>2019/7/17</c:v>
                </c:pt>
                <c:pt idx="254">
                  <c:v>2019/7/18</c:v>
                </c:pt>
                <c:pt idx="255">
                  <c:v>2019/7/19</c:v>
                </c:pt>
                <c:pt idx="256">
                  <c:v>2019/7/22</c:v>
                </c:pt>
                <c:pt idx="257">
                  <c:v>2019/7/23</c:v>
                </c:pt>
                <c:pt idx="258">
                  <c:v>2019/7/24</c:v>
                </c:pt>
                <c:pt idx="259">
                  <c:v>2019/7/25</c:v>
                </c:pt>
                <c:pt idx="260">
                  <c:v>2019/7/26</c:v>
                </c:pt>
                <c:pt idx="261">
                  <c:v>2019/7/29</c:v>
                </c:pt>
                <c:pt idx="262">
                  <c:v>2019/7/30</c:v>
                </c:pt>
                <c:pt idx="263">
                  <c:v>2019/7/31</c:v>
                </c:pt>
                <c:pt idx="264">
                  <c:v>2019/8/1</c:v>
                </c:pt>
                <c:pt idx="265">
                  <c:v>2019/8/2</c:v>
                </c:pt>
                <c:pt idx="266">
                  <c:v>2019/8/5</c:v>
                </c:pt>
                <c:pt idx="267">
                  <c:v>2019/8/6</c:v>
                </c:pt>
                <c:pt idx="268">
                  <c:v>2019/8/7</c:v>
                </c:pt>
                <c:pt idx="269">
                  <c:v>2019/8/8</c:v>
                </c:pt>
                <c:pt idx="270">
                  <c:v>2019/8/9</c:v>
                </c:pt>
                <c:pt idx="271">
                  <c:v>2019/8/12</c:v>
                </c:pt>
                <c:pt idx="272">
                  <c:v>2019/8/13</c:v>
                </c:pt>
                <c:pt idx="273">
                  <c:v>2019/8/14</c:v>
                </c:pt>
                <c:pt idx="274">
                  <c:v>2019/8/15</c:v>
                </c:pt>
                <c:pt idx="275">
                  <c:v>2019/8/16</c:v>
                </c:pt>
                <c:pt idx="276">
                  <c:v>2019/8/19</c:v>
                </c:pt>
                <c:pt idx="277">
                  <c:v>2019/8/20</c:v>
                </c:pt>
                <c:pt idx="278">
                  <c:v>2019/8/21</c:v>
                </c:pt>
                <c:pt idx="279">
                  <c:v>2019/8/22</c:v>
                </c:pt>
                <c:pt idx="280">
                  <c:v>2019/8/23</c:v>
                </c:pt>
                <c:pt idx="281">
                  <c:v>2019/8/26</c:v>
                </c:pt>
                <c:pt idx="282">
                  <c:v>2019/8/27</c:v>
                </c:pt>
                <c:pt idx="283">
                  <c:v>2019/8/28</c:v>
                </c:pt>
                <c:pt idx="284">
                  <c:v>2019/8/29</c:v>
                </c:pt>
                <c:pt idx="285">
                  <c:v>2019/8/30</c:v>
                </c:pt>
                <c:pt idx="286">
                  <c:v>2019/9/2</c:v>
                </c:pt>
                <c:pt idx="287">
                  <c:v>2019/9/3</c:v>
                </c:pt>
                <c:pt idx="288">
                  <c:v>2019/9/4</c:v>
                </c:pt>
                <c:pt idx="289">
                  <c:v>2019/9/5</c:v>
                </c:pt>
                <c:pt idx="290">
                  <c:v>2019/9/6</c:v>
                </c:pt>
                <c:pt idx="291">
                  <c:v>2019/9/9</c:v>
                </c:pt>
                <c:pt idx="292">
                  <c:v>2019/9/10</c:v>
                </c:pt>
                <c:pt idx="293">
                  <c:v>2019/9/11</c:v>
                </c:pt>
                <c:pt idx="294">
                  <c:v>2019/9/12</c:v>
                </c:pt>
                <c:pt idx="295">
                  <c:v>2019/9/16</c:v>
                </c:pt>
                <c:pt idx="296">
                  <c:v>2019/9/17</c:v>
                </c:pt>
                <c:pt idx="297">
                  <c:v>2019/9/18</c:v>
                </c:pt>
                <c:pt idx="298">
                  <c:v>2019/9/19</c:v>
                </c:pt>
                <c:pt idx="299">
                  <c:v>2019/9/20</c:v>
                </c:pt>
                <c:pt idx="300">
                  <c:v>2019/9/23</c:v>
                </c:pt>
                <c:pt idx="301">
                  <c:v>2019/9/24</c:v>
                </c:pt>
                <c:pt idx="302">
                  <c:v>2019/9/25</c:v>
                </c:pt>
                <c:pt idx="303">
                  <c:v>2019/9/26</c:v>
                </c:pt>
                <c:pt idx="304">
                  <c:v>2019/9/27</c:v>
                </c:pt>
                <c:pt idx="305">
                  <c:v>2019/9/30</c:v>
                </c:pt>
                <c:pt idx="306">
                  <c:v>2019/10/8</c:v>
                </c:pt>
                <c:pt idx="307">
                  <c:v>2019/10/9</c:v>
                </c:pt>
                <c:pt idx="308">
                  <c:v>2019/10/10</c:v>
                </c:pt>
                <c:pt idx="309">
                  <c:v>2019/10/11</c:v>
                </c:pt>
                <c:pt idx="310">
                  <c:v>2019/10/14</c:v>
                </c:pt>
                <c:pt idx="311">
                  <c:v>2019/10/15</c:v>
                </c:pt>
                <c:pt idx="312">
                  <c:v>2019/10/16</c:v>
                </c:pt>
                <c:pt idx="313">
                  <c:v>2019/10/17</c:v>
                </c:pt>
                <c:pt idx="314">
                  <c:v>2019/10/18</c:v>
                </c:pt>
                <c:pt idx="315">
                  <c:v>2019/10/21</c:v>
                </c:pt>
                <c:pt idx="316">
                  <c:v>2019/10/22</c:v>
                </c:pt>
              </c:strCache>
            </c:strRef>
          </c:cat>
          <c:val>
            <c:numRef>
              <c:f>'^SSE50'!$C$2:$C$325</c:f>
              <c:numCache>
                <c:formatCode>General</c:formatCode>
                <c:ptCount val="324"/>
                <c:pt idx="0">
                  <c:v>24.1457667030962</c:v>
                </c:pt>
                <c:pt idx="1">
                  <c:v>26.7255099378723</c:v>
                </c:pt>
                <c:pt idx="2">
                  <c:v>26.999260381232499</c:v>
                </c:pt>
                <c:pt idx="3">
                  <c:v>27.3925867864629</c:v>
                </c:pt>
                <c:pt idx="4">
                  <c:v>27.299426342296101</c:v>
                </c:pt>
                <c:pt idx="5">
                  <c:v>24.678526235046199</c:v>
                </c:pt>
                <c:pt idx="6">
                  <c:v>24.173811794012799</c:v>
                </c:pt>
                <c:pt idx="7">
                  <c:v>26.020138040031501</c:v>
                </c:pt>
                <c:pt idx="8">
                  <c:v>23.9886121103123</c:v>
                </c:pt>
                <c:pt idx="9">
                  <c:v>24.2565693131803</c:v>
                </c:pt>
                <c:pt idx="10">
                  <c:v>24.265185162015001</c:v>
                </c:pt>
                <c:pt idx="11">
                  <c:v>23.926304290679699</c:v>
                </c:pt>
                <c:pt idx="12">
                  <c:v>22.173126497039899</c:v>
                </c:pt>
                <c:pt idx="13">
                  <c:v>21.5976418108987</c:v>
                </c:pt>
                <c:pt idx="14">
                  <c:v>21.480865114538801</c:v>
                </c:pt>
                <c:pt idx="15">
                  <c:v>22.915517889973401</c:v>
                </c:pt>
                <c:pt idx="16">
                  <c:v>23.6611228366028</c:v>
                </c:pt>
                <c:pt idx="17">
                  <c:v>24.6864028181487</c:v>
                </c:pt>
                <c:pt idx="18">
                  <c:v>26.337258310866101</c:v>
                </c:pt>
                <c:pt idx="19">
                  <c:v>25.085531080731201</c:v>
                </c:pt>
                <c:pt idx="20">
                  <c:v>24.6637494776366</c:v>
                </c:pt>
                <c:pt idx="21">
                  <c:v>24.383876019291701</c:v>
                </c:pt>
                <c:pt idx="22">
                  <c:v>23.0213104859982</c:v>
                </c:pt>
                <c:pt idx="23">
                  <c:v>25.525688911253798</c:v>
                </c:pt>
                <c:pt idx="24">
                  <c:v>25.576228525326901</c:v>
                </c:pt>
                <c:pt idx="25">
                  <c:v>26.0046828811059</c:v>
                </c:pt>
                <c:pt idx="26">
                  <c:v>26.155874326959498</c:v>
                </c:pt>
                <c:pt idx="27">
                  <c:v>26.073226057726899</c:v>
                </c:pt>
                <c:pt idx="28">
                  <c:v>25.833690239490501</c:v>
                </c:pt>
                <c:pt idx="29">
                  <c:v>25.650345342741101</c:v>
                </c:pt>
                <c:pt idx="30">
                  <c:v>26.431565061243301</c:v>
                </c:pt>
                <c:pt idx="31">
                  <c:v>25.9681437144889</c:v>
                </c:pt>
                <c:pt idx="32">
                  <c:v>26.358073537266201</c:v>
                </c:pt>
                <c:pt idx="33">
                  <c:v>28.198443138790001</c:v>
                </c:pt>
                <c:pt idx="34">
                  <c:v>28.1763690119055</c:v>
                </c:pt>
                <c:pt idx="35">
                  <c:v>28.169723727956601</c:v>
                </c:pt>
                <c:pt idx="36">
                  <c:v>25.849316530151601</c:v>
                </c:pt>
                <c:pt idx="37">
                  <c:v>24.097260441936701</c:v>
                </c:pt>
                <c:pt idx="38">
                  <c:v>15.7585447938967</c:v>
                </c:pt>
                <c:pt idx="39">
                  <c:v>15.7624134003969</c:v>
                </c:pt>
                <c:pt idx="40">
                  <c:v>15.8771366152266</c:v>
                </c:pt>
                <c:pt idx="41">
                  <c:v>17.404158192368499</c:v>
                </c:pt>
                <c:pt idx="42">
                  <c:v>18.4318087523298</c:v>
                </c:pt>
                <c:pt idx="43">
                  <c:v>19.116330744475501</c:v>
                </c:pt>
                <c:pt idx="44">
                  <c:v>19.696429734216402</c:v>
                </c:pt>
                <c:pt idx="45">
                  <c:v>23.383592177666301</c:v>
                </c:pt>
                <c:pt idx="46">
                  <c:v>22.962648781597</c:v>
                </c:pt>
                <c:pt idx="47">
                  <c:v>23.253682202960501</c:v>
                </c:pt>
                <c:pt idx="48">
                  <c:v>24.0718186956307</c:v>
                </c:pt>
                <c:pt idx="49">
                  <c:v>24.2000002012831</c:v>
                </c:pt>
                <c:pt idx="50">
                  <c:v>24.938053767922401</c:v>
                </c:pt>
                <c:pt idx="51">
                  <c:v>24.785181976774801</c:v>
                </c:pt>
                <c:pt idx="52">
                  <c:v>24.4193594744936</c:v>
                </c:pt>
                <c:pt idx="53">
                  <c:v>23.981647595342899</c:v>
                </c:pt>
                <c:pt idx="54">
                  <c:v>22.574341456000401</c:v>
                </c:pt>
                <c:pt idx="55">
                  <c:v>21.800452999758299</c:v>
                </c:pt>
                <c:pt idx="56">
                  <c:v>20.6809503933885</c:v>
                </c:pt>
                <c:pt idx="57">
                  <c:v>19.743911714606099</c:v>
                </c:pt>
                <c:pt idx="58">
                  <c:v>18.772324818319799</c:v>
                </c:pt>
                <c:pt idx="59">
                  <c:v>18.705596844618299</c:v>
                </c:pt>
                <c:pt idx="60">
                  <c:v>21.284701560035799</c:v>
                </c:pt>
                <c:pt idx="61">
                  <c:v>21.729048396095099</c:v>
                </c:pt>
                <c:pt idx="62">
                  <c:v>13.5718751824487</c:v>
                </c:pt>
                <c:pt idx="63">
                  <c:v>14.7654991022616</c:v>
                </c:pt>
                <c:pt idx="64">
                  <c:v>24.004350521071601</c:v>
                </c:pt>
                <c:pt idx="65">
                  <c:v>23.588038502863501</c:v>
                </c:pt>
                <c:pt idx="66">
                  <c:v>23.299047475428502</c:v>
                </c:pt>
                <c:pt idx="67">
                  <c:v>25.171959655588601</c:v>
                </c:pt>
                <c:pt idx="68">
                  <c:v>26.2633412259636</c:v>
                </c:pt>
                <c:pt idx="69">
                  <c:v>27.193766014313301</c:v>
                </c:pt>
                <c:pt idx="70">
                  <c:v>26.459118661724499</c:v>
                </c:pt>
                <c:pt idx="71">
                  <c:v>26.965536952757301</c:v>
                </c:pt>
                <c:pt idx="72">
                  <c:v>28.2256341524585</c:v>
                </c:pt>
                <c:pt idx="73">
                  <c:v>28.089831487936198</c:v>
                </c:pt>
                <c:pt idx="74">
                  <c:v>26.695186672676101</c:v>
                </c:pt>
                <c:pt idx="75">
                  <c:v>27.988100671228299</c:v>
                </c:pt>
                <c:pt idx="76">
                  <c:v>29.021419534853301</c:v>
                </c:pt>
                <c:pt idx="77">
                  <c:v>35.221558390048898</c:v>
                </c:pt>
                <c:pt idx="78">
                  <c:v>34.916508795844003</c:v>
                </c:pt>
                <c:pt idx="79">
                  <c:v>35.333883610354199</c:v>
                </c:pt>
                <c:pt idx="80">
                  <c:v>35.511632616981501</c:v>
                </c:pt>
                <c:pt idx="81">
                  <c:v>36.037660488764402</c:v>
                </c:pt>
                <c:pt idx="82">
                  <c:v>30.4947948305674</c:v>
                </c:pt>
                <c:pt idx="83">
                  <c:v>29.7343116390944</c:v>
                </c:pt>
                <c:pt idx="84">
                  <c:v>30.817487635411201</c:v>
                </c:pt>
                <c:pt idx="85">
                  <c:v>31.450348085116399</c:v>
                </c:pt>
                <c:pt idx="86">
                  <c:v>31.706306617844799</c:v>
                </c:pt>
                <c:pt idx="87">
                  <c:v>31.4319124127775</c:v>
                </c:pt>
                <c:pt idx="88">
                  <c:v>31.7324194602479</c:v>
                </c:pt>
                <c:pt idx="89">
                  <c:v>32.575667220103497</c:v>
                </c:pt>
                <c:pt idx="90">
                  <c:v>31.930720308806301</c:v>
                </c:pt>
                <c:pt idx="91">
                  <c:v>31.4686173212847</c:v>
                </c:pt>
                <c:pt idx="92">
                  <c:v>30.657655334421499</c:v>
                </c:pt>
                <c:pt idx="93">
                  <c:v>29.848923240574301</c:v>
                </c:pt>
                <c:pt idx="94">
                  <c:v>29.5811336545977</c:v>
                </c:pt>
                <c:pt idx="95">
                  <c:v>28.624734801271401</c:v>
                </c:pt>
                <c:pt idx="96">
                  <c:v>28.160345674394598</c:v>
                </c:pt>
                <c:pt idx="97">
                  <c:v>27.873790922463002</c:v>
                </c:pt>
                <c:pt idx="98">
                  <c:v>26.7535631771079</c:v>
                </c:pt>
                <c:pt idx="99">
                  <c:v>27.0171393127481</c:v>
                </c:pt>
                <c:pt idx="100">
                  <c:v>26.165953536750798</c:v>
                </c:pt>
                <c:pt idx="101">
                  <c:v>24.784296471137299</c:v>
                </c:pt>
                <c:pt idx="102">
                  <c:v>21.687249988822899</c:v>
                </c:pt>
                <c:pt idx="103">
                  <c:v>22.721000382577898</c:v>
                </c:pt>
                <c:pt idx="104">
                  <c:v>23.017921389192701</c:v>
                </c:pt>
                <c:pt idx="105">
                  <c:v>21.283236455638399</c:v>
                </c:pt>
                <c:pt idx="106">
                  <c:v>20.907065673476101</c:v>
                </c:pt>
                <c:pt idx="107">
                  <c:v>21.140317054994402</c:v>
                </c:pt>
                <c:pt idx="108">
                  <c:v>20.288943114874598</c:v>
                </c:pt>
                <c:pt idx="109">
                  <c:v>20.3278672521994</c:v>
                </c:pt>
                <c:pt idx="110">
                  <c:v>20.2964492940559</c:v>
                </c:pt>
                <c:pt idx="111">
                  <c:v>20.1148681477442</c:v>
                </c:pt>
                <c:pt idx="112">
                  <c:v>19.521732947792099</c:v>
                </c:pt>
                <c:pt idx="113">
                  <c:v>19.403060719603499</c:v>
                </c:pt>
                <c:pt idx="114">
                  <c:v>20.349366405637301</c:v>
                </c:pt>
                <c:pt idx="115">
                  <c:v>21.036236212660299</c:v>
                </c:pt>
                <c:pt idx="116">
                  <c:v>20.9109611247865</c:v>
                </c:pt>
                <c:pt idx="117">
                  <c:v>23.258479498276898</c:v>
                </c:pt>
                <c:pt idx="118">
                  <c:v>25.453532867746301</c:v>
                </c:pt>
                <c:pt idx="119">
                  <c:v>24.8023349016898</c:v>
                </c:pt>
                <c:pt idx="120">
                  <c:v>24.3097506032205</c:v>
                </c:pt>
                <c:pt idx="121">
                  <c:v>24.142520902623101</c:v>
                </c:pt>
                <c:pt idx="122">
                  <c:v>17.730529690151702</c:v>
                </c:pt>
                <c:pt idx="123">
                  <c:v>18.093409809575299</c:v>
                </c:pt>
                <c:pt idx="124">
                  <c:v>22.610989735646999</c:v>
                </c:pt>
                <c:pt idx="125">
                  <c:v>22.282307682497699</c:v>
                </c:pt>
                <c:pt idx="126">
                  <c:v>22.1324486103677</c:v>
                </c:pt>
                <c:pt idx="127">
                  <c:v>22.115214633421001</c:v>
                </c:pt>
                <c:pt idx="128">
                  <c:v>21.363993944945101</c:v>
                </c:pt>
                <c:pt idx="129">
                  <c:v>19.391517973587899</c:v>
                </c:pt>
                <c:pt idx="130">
                  <c:v>18.9293524181289</c:v>
                </c:pt>
                <c:pt idx="131">
                  <c:v>18.5220822835898</c:v>
                </c:pt>
                <c:pt idx="132">
                  <c:v>18.878538062855899</c:v>
                </c:pt>
                <c:pt idx="133">
                  <c:v>17.845908248964701</c:v>
                </c:pt>
                <c:pt idx="134">
                  <c:v>17.3924169616302</c:v>
                </c:pt>
                <c:pt idx="135">
                  <c:v>15.9361832866571</c:v>
                </c:pt>
                <c:pt idx="136">
                  <c:v>16.826562645338701</c:v>
                </c:pt>
                <c:pt idx="137">
                  <c:v>19.2460390408115</c:v>
                </c:pt>
                <c:pt idx="138">
                  <c:v>18.0131009140351</c:v>
                </c:pt>
                <c:pt idx="139">
                  <c:v>17.2032167915029</c:v>
                </c:pt>
                <c:pt idx="140">
                  <c:v>17.3635446520234</c:v>
                </c:pt>
                <c:pt idx="141">
                  <c:v>16.123738657195201</c:v>
                </c:pt>
                <c:pt idx="142">
                  <c:v>18.052372106321801</c:v>
                </c:pt>
                <c:pt idx="143">
                  <c:v>19.533738573748899</c:v>
                </c:pt>
                <c:pt idx="144">
                  <c:v>21.220692993807699</c:v>
                </c:pt>
                <c:pt idx="145">
                  <c:v>20.863983406441299</c:v>
                </c:pt>
                <c:pt idx="146">
                  <c:v>19.405069361863699</c:v>
                </c:pt>
                <c:pt idx="147">
                  <c:v>19.927540601680501</c:v>
                </c:pt>
                <c:pt idx="148">
                  <c:v>19.079423563009499</c:v>
                </c:pt>
                <c:pt idx="149">
                  <c:v>19.4024412247886</c:v>
                </c:pt>
                <c:pt idx="150">
                  <c:v>21.468905231807099</c:v>
                </c:pt>
                <c:pt idx="151">
                  <c:v>21.3875047517603</c:v>
                </c:pt>
                <c:pt idx="152">
                  <c:v>21.684341960337299</c:v>
                </c:pt>
                <c:pt idx="153">
                  <c:v>22.719333445615899</c:v>
                </c:pt>
                <c:pt idx="154">
                  <c:v>23.3736975128081</c:v>
                </c:pt>
                <c:pt idx="155">
                  <c:v>23.6318356215168</c:v>
                </c:pt>
                <c:pt idx="156">
                  <c:v>22.888137149244901</c:v>
                </c:pt>
                <c:pt idx="157">
                  <c:v>25.363413416956501</c:v>
                </c:pt>
                <c:pt idx="158">
                  <c:v>34.228596704866199</c:v>
                </c:pt>
                <c:pt idx="159">
                  <c:v>31.062241263450101</c:v>
                </c:pt>
                <c:pt idx="160">
                  <c:v>24.045391923500802</c:v>
                </c:pt>
                <c:pt idx="161">
                  <c:v>27.861651087131801</c:v>
                </c:pt>
                <c:pt idx="162">
                  <c:v>30.457107946598299</c:v>
                </c:pt>
                <c:pt idx="163">
                  <c:v>30.7850593862693</c:v>
                </c:pt>
                <c:pt idx="164">
                  <c:v>31.8844120359845</c:v>
                </c:pt>
                <c:pt idx="165">
                  <c:v>33.056095920629701</c:v>
                </c:pt>
                <c:pt idx="166">
                  <c:v>33.073023871996902</c:v>
                </c:pt>
                <c:pt idx="167">
                  <c:v>31.896164036651498</c:v>
                </c:pt>
                <c:pt idx="168">
                  <c:v>30.607404262641499</c:v>
                </c:pt>
                <c:pt idx="169">
                  <c:v>30.441041358443901</c:v>
                </c:pt>
                <c:pt idx="170">
                  <c:v>29.932589494794101</c:v>
                </c:pt>
                <c:pt idx="171">
                  <c:v>27.728997854172</c:v>
                </c:pt>
                <c:pt idx="172">
                  <c:v>27.224742996454101</c:v>
                </c:pt>
                <c:pt idx="173">
                  <c:v>29.106543082472001</c:v>
                </c:pt>
                <c:pt idx="174">
                  <c:v>29.260752890157999</c:v>
                </c:pt>
                <c:pt idx="175">
                  <c:v>30.3130645368012</c:v>
                </c:pt>
                <c:pt idx="176">
                  <c:v>30.558969978837901</c:v>
                </c:pt>
                <c:pt idx="177">
                  <c:v>29.109342140704701</c:v>
                </c:pt>
                <c:pt idx="178">
                  <c:v>26.3185291716714</c:v>
                </c:pt>
                <c:pt idx="179">
                  <c:v>25.296109600292201</c:v>
                </c:pt>
                <c:pt idx="180">
                  <c:v>17.217497694690099</c:v>
                </c:pt>
                <c:pt idx="181">
                  <c:v>18.036393206352599</c:v>
                </c:pt>
                <c:pt idx="182">
                  <c:v>27.040795240146501</c:v>
                </c:pt>
                <c:pt idx="183">
                  <c:v>29.079142578506801</c:v>
                </c:pt>
                <c:pt idx="184">
                  <c:v>29.0371140726539</c:v>
                </c:pt>
                <c:pt idx="185">
                  <c:v>30.523453988966398</c:v>
                </c:pt>
                <c:pt idx="186">
                  <c:v>32.196403105965203</c:v>
                </c:pt>
                <c:pt idx="187">
                  <c:v>30.998579059778901</c:v>
                </c:pt>
                <c:pt idx="188">
                  <c:v>30.4101844255392</c:v>
                </c:pt>
                <c:pt idx="189">
                  <c:v>30.900724744445402</c:v>
                </c:pt>
                <c:pt idx="190">
                  <c:v>29.132326583223598</c:v>
                </c:pt>
                <c:pt idx="191">
                  <c:v>28.831476244444801</c:v>
                </c:pt>
                <c:pt idx="192">
                  <c:v>28.0917390679836</c:v>
                </c:pt>
                <c:pt idx="193">
                  <c:v>29.255827583222199</c:v>
                </c:pt>
                <c:pt idx="194">
                  <c:v>29.644689737439698</c:v>
                </c:pt>
                <c:pt idx="195">
                  <c:v>29.3020129423791</c:v>
                </c:pt>
                <c:pt idx="196">
                  <c:v>29.694906614496801</c:v>
                </c:pt>
                <c:pt idx="197">
                  <c:v>28.909442365870401</c:v>
                </c:pt>
                <c:pt idx="198">
                  <c:v>27.748998965599402</c:v>
                </c:pt>
                <c:pt idx="199">
                  <c:v>30.202971011430002</c:v>
                </c:pt>
                <c:pt idx="200">
                  <c:v>29.412958895491901</c:v>
                </c:pt>
                <c:pt idx="201">
                  <c:v>28.999675833923298</c:v>
                </c:pt>
                <c:pt idx="202">
                  <c:v>28.245045299517301</c:v>
                </c:pt>
                <c:pt idx="203">
                  <c:v>30.064355586231201</c:v>
                </c:pt>
                <c:pt idx="204">
                  <c:v>27.2438871921483</c:v>
                </c:pt>
                <c:pt idx="205">
                  <c:v>27.216354447033599</c:v>
                </c:pt>
                <c:pt idx="206">
                  <c:v>29.113323249758398</c:v>
                </c:pt>
                <c:pt idx="207">
                  <c:v>29.531046841488099</c:v>
                </c:pt>
                <c:pt idx="208">
                  <c:v>29.054749472108298</c:v>
                </c:pt>
                <c:pt idx="209">
                  <c:v>28.044061914125798</c:v>
                </c:pt>
                <c:pt idx="210">
                  <c:v>25.542641279117699</c:v>
                </c:pt>
                <c:pt idx="211">
                  <c:v>24.832143321253401</c:v>
                </c:pt>
                <c:pt idx="212">
                  <c:v>24.445648241425801</c:v>
                </c:pt>
                <c:pt idx="213">
                  <c:v>24.515462434434902</c:v>
                </c:pt>
                <c:pt idx="214">
                  <c:v>23.123277748578399</c:v>
                </c:pt>
                <c:pt idx="215">
                  <c:v>22.362644373560801</c:v>
                </c:pt>
                <c:pt idx="216">
                  <c:v>14.2030777410412</c:v>
                </c:pt>
                <c:pt idx="217">
                  <c:v>14.9354236811759</c:v>
                </c:pt>
                <c:pt idx="218">
                  <c:v>16.886159851499499</c:v>
                </c:pt>
                <c:pt idx="219">
                  <c:v>15.683248672326</c:v>
                </c:pt>
                <c:pt idx="220">
                  <c:v>16.878656979959999</c:v>
                </c:pt>
                <c:pt idx="221">
                  <c:v>17.493526940347099</c:v>
                </c:pt>
                <c:pt idx="222">
                  <c:v>17.719059830878201</c:v>
                </c:pt>
                <c:pt idx="223">
                  <c:v>22.937375251160098</c:v>
                </c:pt>
                <c:pt idx="224">
                  <c:v>23.247636754369999</c:v>
                </c:pt>
                <c:pt idx="225">
                  <c:v>22.987954580455401</c:v>
                </c:pt>
                <c:pt idx="226">
                  <c:v>22.919778322831199</c:v>
                </c:pt>
                <c:pt idx="227">
                  <c:v>22.260302740222901</c:v>
                </c:pt>
                <c:pt idx="228">
                  <c:v>20.892022832114499</c:v>
                </c:pt>
                <c:pt idx="229">
                  <c:v>21.364379173277399</c:v>
                </c:pt>
                <c:pt idx="230">
                  <c:v>21.152027833445601</c:v>
                </c:pt>
                <c:pt idx="231">
                  <c:v>20.7549942052101</c:v>
                </c:pt>
                <c:pt idx="232">
                  <c:v>20.962304266605599</c:v>
                </c:pt>
                <c:pt idx="233">
                  <c:v>20.366405713872201</c:v>
                </c:pt>
                <c:pt idx="234">
                  <c:v>19.533818645638299</c:v>
                </c:pt>
                <c:pt idx="235">
                  <c:v>21.790342838295299</c:v>
                </c:pt>
                <c:pt idx="236">
                  <c:v>24.9085017042337</c:v>
                </c:pt>
                <c:pt idx="237">
                  <c:v>26.135408409355801</c:v>
                </c:pt>
                <c:pt idx="238">
                  <c:v>26.258761948730601</c:v>
                </c:pt>
                <c:pt idx="239">
                  <c:v>26.2954928470146</c:v>
                </c:pt>
                <c:pt idx="240">
                  <c:v>15.1676190983318</c:v>
                </c:pt>
                <c:pt idx="241">
                  <c:v>22.625055772252701</c:v>
                </c:pt>
                <c:pt idx="242">
                  <c:v>25.600907248804901</c:v>
                </c:pt>
                <c:pt idx="243">
                  <c:v>24.932938072893801</c:v>
                </c:pt>
                <c:pt idx="244">
                  <c:v>23.8316811519861</c:v>
                </c:pt>
                <c:pt idx="245">
                  <c:v>23.392999448807501</c:v>
                </c:pt>
                <c:pt idx="246">
                  <c:v>23.580180884459601</c:v>
                </c:pt>
                <c:pt idx="247">
                  <c:v>23.866171629213799</c:v>
                </c:pt>
                <c:pt idx="248">
                  <c:v>22.248679852617499</c:v>
                </c:pt>
                <c:pt idx="249">
                  <c:v>22.2699055351633</c:v>
                </c:pt>
                <c:pt idx="250">
                  <c:v>22.2527421168245</c:v>
                </c:pt>
                <c:pt idx="251">
                  <c:v>22.529421633661901</c:v>
                </c:pt>
                <c:pt idx="252">
                  <c:v>22.678484291255401</c:v>
                </c:pt>
                <c:pt idx="253">
                  <c:v>22.794765680108</c:v>
                </c:pt>
                <c:pt idx="254">
                  <c:v>22.7406787913384</c:v>
                </c:pt>
                <c:pt idx="255">
                  <c:v>20.588021232129002</c:v>
                </c:pt>
                <c:pt idx="256">
                  <c:v>21.1967588668068</c:v>
                </c:pt>
                <c:pt idx="257">
                  <c:v>21.660204541210899</c:v>
                </c:pt>
                <c:pt idx="258">
                  <c:v>20.201815844233</c:v>
                </c:pt>
                <c:pt idx="259">
                  <c:v>19.434384146248501</c:v>
                </c:pt>
                <c:pt idx="260">
                  <c:v>22.012430011450999</c:v>
                </c:pt>
                <c:pt idx="261">
                  <c:v>21.997936408790199</c:v>
                </c:pt>
                <c:pt idx="262">
                  <c:v>22.401817387960001</c:v>
                </c:pt>
                <c:pt idx="263">
                  <c:v>21.806959555776</c:v>
                </c:pt>
                <c:pt idx="264">
                  <c:v>21.825814024918401</c:v>
                </c:pt>
                <c:pt idx="265">
                  <c:v>18.887185435991899</c:v>
                </c:pt>
                <c:pt idx="266">
                  <c:v>19.1673917445796</c:v>
                </c:pt>
                <c:pt idx="267">
                  <c:v>19.696706481026901</c:v>
                </c:pt>
                <c:pt idx="268">
                  <c:v>22.825017334396101</c:v>
                </c:pt>
                <c:pt idx="269">
                  <c:v>21.3351231228914</c:v>
                </c:pt>
                <c:pt idx="270">
                  <c:v>20.819112889518301</c:v>
                </c:pt>
                <c:pt idx="271">
                  <c:v>20.7415343500052</c:v>
                </c:pt>
                <c:pt idx="272">
                  <c:v>20.567072960705602</c:v>
                </c:pt>
                <c:pt idx="273">
                  <c:v>20.693894433247898</c:v>
                </c:pt>
                <c:pt idx="274">
                  <c:v>20.057166312902801</c:v>
                </c:pt>
                <c:pt idx="275">
                  <c:v>20.546438883385498</c:v>
                </c:pt>
                <c:pt idx="276">
                  <c:v>20.788827963978601</c:v>
                </c:pt>
                <c:pt idx="277">
                  <c:v>21.242582857002802</c:v>
                </c:pt>
                <c:pt idx="278">
                  <c:v>21.258364854379401</c:v>
                </c:pt>
                <c:pt idx="279">
                  <c:v>20.375845610643601</c:v>
                </c:pt>
                <c:pt idx="280">
                  <c:v>20.125302041847402</c:v>
                </c:pt>
                <c:pt idx="281">
                  <c:v>20.411821401762801</c:v>
                </c:pt>
                <c:pt idx="282">
                  <c:v>21.5780344693963</c:v>
                </c:pt>
                <c:pt idx="283">
                  <c:v>20.337207213648199</c:v>
                </c:pt>
                <c:pt idx="284">
                  <c:v>20.337379034300199</c:v>
                </c:pt>
                <c:pt idx="285">
                  <c:v>14.529350026571</c:v>
                </c:pt>
                <c:pt idx="286">
                  <c:v>15.308757148321</c:v>
                </c:pt>
                <c:pt idx="287">
                  <c:v>18.9655094685411</c:v>
                </c:pt>
                <c:pt idx="288">
                  <c:v>18.607073537717699</c:v>
                </c:pt>
                <c:pt idx="289">
                  <c:v>18.220541319181301</c:v>
                </c:pt>
                <c:pt idx="290">
                  <c:v>19.481404165841099</c:v>
                </c:pt>
                <c:pt idx="291">
                  <c:v>19.385101176372899</c:v>
                </c:pt>
                <c:pt idx="292">
                  <c:v>20.404617420989599</c:v>
                </c:pt>
                <c:pt idx="293">
                  <c:v>20.145938719050601</c:v>
                </c:pt>
                <c:pt idx="294">
                  <c:v>20.095427984434199</c:v>
                </c:pt>
                <c:pt idx="295">
                  <c:v>19.695804081903699</c:v>
                </c:pt>
                <c:pt idx="296">
                  <c:v>19.3862933364437</c:v>
                </c:pt>
                <c:pt idx="297">
                  <c:v>18.6841611182825</c:v>
                </c:pt>
                <c:pt idx="298">
                  <c:v>17.958705813892301</c:v>
                </c:pt>
                <c:pt idx="299">
                  <c:v>17.3676829653357</c:v>
                </c:pt>
                <c:pt idx="300">
                  <c:v>17.227816715692299</c:v>
                </c:pt>
                <c:pt idx="301">
                  <c:v>17.7226917042201</c:v>
                </c:pt>
                <c:pt idx="302">
                  <c:v>17.039005804702001</c:v>
                </c:pt>
                <c:pt idx="303">
                  <c:v>17.0708534297348</c:v>
                </c:pt>
                <c:pt idx="304">
                  <c:v>8.9470321945044304</c:v>
                </c:pt>
                <c:pt idx="305">
                  <c:v>12.027489540917401</c:v>
                </c:pt>
                <c:pt idx="306">
                  <c:v>13.8957927527861</c:v>
                </c:pt>
                <c:pt idx="307">
                  <c:v>16.949642298235599</c:v>
                </c:pt>
                <c:pt idx="308">
                  <c:v>15.8657286372013</c:v>
                </c:pt>
                <c:pt idx="309">
                  <c:v>15.972699825976299</c:v>
                </c:pt>
                <c:pt idx="310">
                  <c:v>16.073109518711199</c:v>
                </c:pt>
                <c:pt idx="311">
                  <c:v>15.7338888871452</c:v>
                </c:pt>
                <c:pt idx="312">
                  <c:v>14.969849027506701</c:v>
                </c:pt>
                <c:pt idx="313">
                  <c:v>14.560423530363799</c:v>
                </c:pt>
                <c:pt idx="314">
                  <c:v>13.6516540529702</c:v>
                </c:pt>
                <c:pt idx="315">
                  <c:v>14.2628987114369</c:v>
                </c:pt>
              </c:numCache>
            </c:numRef>
          </c:val>
          <c:smooth val="0"/>
          <c:extLst>
            <c:ext xmlns:c16="http://schemas.microsoft.com/office/drawing/2014/chart" uri="{C3380CC4-5D6E-409C-BE32-E72D297353CC}">
              <c16:uniqueId val="{00000001-4243-5543-835F-C09F17573004}"/>
            </c:ext>
          </c:extLst>
        </c:ser>
        <c:dLbls>
          <c:showLegendKey val="0"/>
          <c:showVal val="0"/>
          <c:showCatName val="0"/>
          <c:showSerName val="0"/>
          <c:showPercent val="0"/>
          <c:showBubbleSize val="0"/>
        </c:dLbls>
        <c:marker val="1"/>
        <c:smooth val="0"/>
        <c:axId val="1373689488"/>
        <c:axId val="1373686960"/>
      </c:lineChart>
      <c:catAx>
        <c:axId val="1725526144"/>
        <c:scaling>
          <c:orientation val="minMax"/>
        </c:scaling>
        <c:delete val="0"/>
        <c:axPos val="b"/>
        <c:numFmt formatCode="General" sourceLinked="1"/>
        <c:majorTickMark val="out"/>
        <c:minorTickMark val="none"/>
        <c:tickLblPos val="nextTo"/>
        <c:spPr>
          <a:solidFill>
            <a:schemeClr val="accent6">
              <a:alpha val="0"/>
            </a:schemeClr>
          </a:solidFill>
          <a:ln w="9525" cap="flat" cmpd="sng" algn="ctr">
            <a:solidFill>
              <a:schemeClr val="accent6">
                <a:alpha val="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23057520"/>
        <c:crosses val="autoZero"/>
        <c:auto val="1"/>
        <c:lblAlgn val="ctr"/>
        <c:lblOffset val="100"/>
        <c:noMultiLvlLbl val="0"/>
      </c:catAx>
      <c:valAx>
        <c:axId val="1723057520"/>
        <c:scaling>
          <c:orientation val="minMax"/>
          <c:min val="2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25526144"/>
        <c:crosses val="autoZero"/>
        <c:crossBetween val="between"/>
      </c:valAx>
      <c:valAx>
        <c:axId val="13736869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373689488"/>
        <c:crosses val="max"/>
        <c:crossBetween val="between"/>
      </c:valAx>
      <c:catAx>
        <c:axId val="1373689488"/>
        <c:scaling>
          <c:orientation val="minMax"/>
        </c:scaling>
        <c:delete val="1"/>
        <c:axPos val="b"/>
        <c:numFmt formatCode="General" sourceLinked="1"/>
        <c:majorTickMark val="out"/>
        <c:minorTickMark val="none"/>
        <c:tickLblPos val="nextTo"/>
        <c:crossAx val="13736869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F0BF4-CE93-1048-87C8-2051A5451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33</Pages>
  <Words>7059</Words>
  <Characters>40240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205</cp:revision>
  <cp:lastPrinted>2020-04-06T13:44:00Z</cp:lastPrinted>
  <dcterms:created xsi:type="dcterms:W3CDTF">2020-04-06T13:44:00Z</dcterms:created>
  <dcterms:modified xsi:type="dcterms:W3CDTF">2020-05-08T14:20:00Z</dcterms:modified>
</cp:coreProperties>
</file>